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cs="宋体"/>
          <w:b/>
          <w:bCs/>
          <w:color w:val="000000"/>
          <w:szCs w:val="21"/>
        </w:rPr>
      </w:pPr>
      <w:r>
        <w:rPr>
          <w:rFonts w:hint="eastAsia" w:ascii="宋体" w:hAnsi="宋体" w:cs="宋体"/>
          <w:b/>
          <w:bCs/>
          <w:color w:val="000000"/>
          <w:szCs w:val="21"/>
        </w:rPr>
        <w:t xml:space="preserve">                                         合同编号：</w:t>
      </w:r>
      <w:r>
        <w:rPr>
          <w:rFonts w:ascii="宋体" w:hAnsi="宋体" w:cs="宋体"/>
          <w:b/>
          <w:bCs/>
          <w:color w:val="000000"/>
          <w:szCs w:val="21"/>
        </w:rPr>
        <w:t>LK-</w:t>
      </w:r>
      <w:r>
        <w:rPr>
          <w:rFonts w:hint="eastAsia" w:ascii="宋体" w:hAnsi="宋体" w:cs="宋体"/>
          <w:b/>
          <w:bCs/>
          <w:color w:val="000000"/>
          <w:szCs w:val="21"/>
        </w:rPr>
        <w:t>TZSWZ-</w:t>
      </w:r>
      <w:r>
        <w:rPr>
          <w:rFonts w:ascii="宋体" w:hAnsi="宋体" w:cs="宋体"/>
          <w:b/>
          <w:bCs/>
          <w:color w:val="000000"/>
          <w:szCs w:val="21"/>
        </w:rPr>
        <w:t>CG-ZB-</w:t>
      </w:r>
      <w:r>
        <w:rPr>
          <w:rFonts w:hint="eastAsia" w:ascii="宋体" w:hAnsi="宋体" w:cs="宋体"/>
          <w:b/>
          <w:bCs/>
          <w:color w:val="000000"/>
          <w:szCs w:val="21"/>
        </w:rPr>
        <w:t>0XX</w:t>
      </w:r>
    </w:p>
    <w:p>
      <w:pPr>
        <w:spacing w:line="360" w:lineRule="auto"/>
        <w:jc w:val="center"/>
        <w:rPr>
          <w:rFonts w:hint="eastAsia" w:ascii="宋体" w:hAnsi="宋体" w:cs="宋体"/>
          <w:b/>
          <w:bCs/>
          <w:color w:val="000000"/>
          <w:sz w:val="52"/>
          <w:szCs w:val="52"/>
        </w:rPr>
      </w:pPr>
    </w:p>
    <w:p>
      <w:pPr>
        <w:spacing w:line="360" w:lineRule="auto"/>
        <w:jc w:val="center"/>
        <w:rPr>
          <w:rFonts w:hint="eastAsia" w:ascii="宋体" w:hAnsi="宋体" w:cs="宋体"/>
          <w:b/>
          <w:bCs/>
          <w:color w:val="000000"/>
          <w:sz w:val="52"/>
          <w:szCs w:val="52"/>
        </w:rPr>
      </w:pPr>
      <w:r>
        <w:rPr>
          <w:rFonts w:hint="eastAsia" w:ascii="宋体" w:hAnsi="宋体" w:cs="宋体"/>
          <w:b/>
          <w:bCs/>
          <w:color w:val="000000"/>
          <w:sz w:val="52"/>
          <w:szCs w:val="52"/>
        </w:rPr>
        <w:t>深圳市必尚供应链有限公司</w:t>
      </w:r>
    </w:p>
    <w:p>
      <w:pPr>
        <w:spacing w:line="360" w:lineRule="auto"/>
        <w:jc w:val="center"/>
        <w:rPr>
          <w:rFonts w:hint="eastAsia" w:ascii="宋体" w:hAnsi="宋体" w:cs="宋体"/>
          <w:b/>
          <w:bCs/>
          <w:color w:val="000000"/>
          <w:sz w:val="52"/>
          <w:szCs w:val="52"/>
        </w:rPr>
      </w:pPr>
    </w:p>
    <w:p>
      <w:pPr>
        <w:rPr>
          <w:rFonts w:hint="eastAsia" w:ascii="宋体" w:hAnsi="宋体"/>
          <w:sz w:val="41"/>
        </w:rPr>
      </w:pPr>
    </w:p>
    <w:p>
      <w:pPr>
        <w:rPr>
          <w:rFonts w:hint="eastAsia" w:ascii="宋体" w:hAnsi="宋体"/>
          <w:sz w:val="41"/>
        </w:rPr>
      </w:pPr>
    </w:p>
    <w:p>
      <w:pPr>
        <w:jc w:val="center"/>
        <w:rPr>
          <w:rFonts w:hint="eastAsia" w:ascii="宋体" w:hAnsi="宋体" w:cs="宋体"/>
          <w:b/>
          <w:bCs/>
          <w:color w:val="000000"/>
          <w:sz w:val="52"/>
          <w:szCs w:val="52"/>
        </w:rPr>
      </w:pPr>
      <w:r>
        <w:rPr>
          <w:rFonts w:hint="eastAsia" w:ascii="宋体" w:hAnsi="宋体" w:cs="宋体"/>
          <w:b/>
          <w:bCs/>
          <w:color w:val="000000"/>
          <w:sz w:val="52"/>
          <w:szCs w:val="52"/>
        </w:rPr>
        <w:t>沼渣输送</w:t>
      </w:r>
      <w:r>
        <w:rPr>
          <w:rFonts w:ascii="宋体" w:hAnsi="宋体" w:cs="宋体"/>
          <w:b/>
          <w:bCs/>
          <w:color w:val="000000"/>
          <w:sz w:val="52"/>
          <w:szCs w:val="52"/>
        </w:rPr>
        <w:t>及存储系统</w:t>
      </w:r>
      <w:r>
        <w:rPr>
          <w:rFonts w:hint="eastAsia" w:ascii="宋体" w:hAnsi="宋体" w:cs="宋体"/>
          <w:b/>
          <w:bCs/>
          <w:color w:val="000000"/>
          <w:sz w:val="52"/>
          <w:szCs w:val="52"/>
        </w:rPr>
        <w:t>设备及服务采购</w:t>
      </w:r>
    </w:p>
    <w:p>
      <w:pPr>
        <w:jc w:val="center"/>
        <w:rPr>
          <w:rFonts w:hint="eastAsia" w:ascii="宋体" w:hAnsi="宋体" w:cs="宋体"/>
          <w:b/>
          <w:bCs/>
          <w:color w:val="000000"/>
          <w:sz w:val="52"/>
          <w:szCs w:val="52"/>
        </w:rPr>
      </w:pPr>
      <w:r>
        <w:rPr>
          <w:rFonts w:hint="eastAsia" w:ascii="宋体" w:hAnsi="宋体" w:cs="宋体"/>
          <w:b/>
          <w:bCs/>
          <w:color w:val="000000"/>
          <w:sz w:val="52"/>
          <w:szCs w:val="52"/>
        </w:rPr>
        <w:t>技术需求书</w:t>
      </w:r>
    </w:p>
    <w:p>
      <w:pPr>
        <w:widowControl/>
        <w:adjustRightInd w:val="0"/>
        <w:snapToGrid w:val="0"/>
        <w:spacing w:line="360" w:lineRule="auto"/>
        <w:jc w:val="center"/>
        <w:rPr>
          <w:rFonts w:hint="eastAsia" w:ascii="宋体" w:hAnsi="宋体"/>
          <w:sz w:val="44"/>
          <w:szCs w:val="44"/>
        </w:rPr>
      </w:pPr>
      <w:r>
        <w:rPr>
          <w:rFonts w:hint="eastAsia" w:ascii="宋体" w:hAnsi="宋体"/>
          <w:sz w:val="44"/>
          <w:szCs w:val="44"/>
        </w:rPr>
        <w:t>（设计</w:t>
      </w:r>
      <w:r>
        <w:rPr>
          <w:rFonts w:ascii="宋体" w:hAnsi="宋体"/>
          <w:sz w:val="44"/>
          <w:szCs w:val="44"/>
        </w:rPr>
        <w:t>、供货、安装、调试</w:t>
      </w:r>
      <w:r>
        <w:rPr>
          <w:rFonts w:hint="eastAsia" w:ascii="宋体" w:hAnsi="宋体"/>
          <w:sz w:val="44"/>
          <w:szCs w:val="44"/>
        </w:rPr>
        <w:t>）</w:t>
      </w:r>
    </w:p>
    <w:p>
      <w:pPr>
        <w:snapToGrid w:val="0"/>
        <w:spacing w:line="360" w:lineRule="auto"/>
        <w:jc w:val="center"/>
        <w:rPr>
          <w:rFonts w:hint="eastAsia" w:ascii="宋体" w:hAnsi="宋体"/>
          <w:sz w:val="28"/>
          <w:szCs w:val="28"/>
        </w:rPr>
      </w:pPr>
    </w:p>
    <w:p>
      <w:pPr>
        <w:jc w:val="center"/>
        <w:rPr>
          <w:rFonts w:hint="eastAsia" w:ascii="宋体" w:hAnsi="宋体"/>
          <w:sz w:val="28"/>
          <w:szCs w:val="28"/>
        </w:rPr>
      </w:pPr>
    </w:p>
    <w:p>
      <w:pPr>
        <w:rPr>
          <w:rFonts w:hint="eastAsia" w:ascii="宋体" w:hAnsi="宋体"/>
          <w:sz w:val="36"/>
          <w:szCs w:val="36"/>
          <w:u w:val="single"/>
        </w:rPr>
      </w:pPr>
    </w:p>
    <w:p>
      <w:pPr>
        <w:jc w:val="center"/>
        <w:rPr>
          <w:rFonts w:hint="eastAsia" w:ascii="宋体" w:hAnsi="宋体"/>
          <w:sz w:val="36"/>
          <w:szCs w:val="36"/>
          <w:u w:val="single"/>
        </w:rPr>
      </w:pPr>
    </w:p>
    <w:p>
      <w:pPr>
        <w:widowControl/>
        <w:adjustRightInd w:val="0"/>
        <w:snapToGrid w:val="0"/>
        <w:spacing w:line="360" w:lineRule="auto"/>
        <w:ind w:firstLine="2100" w:firstLineChars="700"/>
        <w:rPr>
          <w:rFonts w:hint="eastAsia" w:ascii="宋体" w:hAnsi="宋体"/>
          <w:sz w:val="30"/>
          <w:szCs w:val="30"/>
        </w:rPr>
      </w:pPr>
      <w:r>
        <w:rPr>
          <w:rFonts w:hint="eastAsia" w:ascii="宋体" w:hAnsi="宋体"/>
          <w:sz w:val="30"/>
          <w:szCs w:val="30"/>
        </w:rPr>
        <w:t>（招标编号:</w:t>
      </w:r>
      <w:r>
        <w:rPr>
          <w:rFonts w:ascii="宋体" w:hAnsi="宋体"/>
          <w:sz w:val="30"/>
          <w:szCs w:val="30"/>
        </w:rPr>
        <w:t xml:space="preserve"> </w:t>
      </w:r>
      <w:r>
        <w:rPr>
          <w:rFonts w:hint="eastAsia" w:ascii="宋体" w:hAnsi="宋体"/>
          <w:sz w:val="30"/>
          <w:szCs w:val="30"/>
        </w:rPr>
        <w:t>ITB-LK-TZSWZ-ZB-0xx）</w:t>
      </w:r>
    </w:p>
    <w:p>
      <w:pPr>
        <w:widowControl/>
        <w:tabs>
          <w:tab w:val="left" w:pos="6840"/>
        </w:tabs>
        <w:adjustRightInd w:val="0"/>
        <w:snapToGrid w:val="0"/>
        <w:spacing w:line="360" w:lineRule="auto"/>
        <w:jc w:val="center"/>
        <w:rPr>
          <w:rFonts w:hint="eastAsia" w:ascii="宋体" w:hAnsi="宋体"/>
          <w:sz w:val="28"/>
          <w:szCs w:val="28"/>
        </w:rPr>
      </w:pPr>
    </w:p>
    <w:p>
      <w:pPr>
        <w:widowControl/>
        <w:tabs>
          <w:tab w:val="left" w:pos="6840"/>
        </w:tabs>
        <w:adjustRightInd w:val="0"/>
        <w:snapToGrid w:val="0"/>
        <w:spacing w:line="360" w:lineRule="auto"/>
        <w:jc w:val="center"/>
        <w:rPr>
          <w:rFonts w:hint="eastAsia" w:ascii="宋体" w:hAnsi="宋体"/>
          <w:sz w:val="28"/>
          <w:szCs w:val="28"/>
        </w:rPr>
      </w:pPr>
    </w:p>
    <w:p>
      <w:pPr>
        <w:widowControl/>
        <w:tabs>
          <w:tab w:val="left" w:pos="6840"/>
        </w:tabs>
        <w:adjustRightInd w:val="0"/>
        <w:snapToGrid w:val="0"/>
        <w:spacing w:line="360" w:lineRule="auto"/>
        <w:jc w:val="center"/>
        <w:rPr>
          <w:rFonts w:hint="eastAsia" w:ascii="宋体" w:hAnsi="宋体"/>
          <w:sz w:val="28"/>
          <w:szCs w:val="28"/>
        </w:rPr>
      </w:pPr>
    </w:p>
    <w:p>
      <w:pPr>
        <w:widowControl/>
        <w:tabs>
          <w:tab w:val="left" w:pos="6840"/>
        </w:tabs>
        <w:adjustRightInd w:val="0"/>
        <w:snapToGrid w:val="0"/>
        <w:spacing w:line="360" w:lineRule="auto"/>
        <w:jc w:val="center"/>
        <w:rPr>
          <w:rFonts w:hint="eastAsia" w:ascii="宋体" w:hAnsi="宋体"/>
          <w:sz w:val="28"/>
          <w:szCs w:val="28"/>
        </w:rPr>
      </w:pPr>
    </w:p>
    <w:p>
      <w:pPr>
        <w:widowControl/>
        <w:tabs>
          <w:tab w:val="left" w:pos="6840"/>
        </w:tabs>
        <w:adjustRightInd w:val="0"/>
        <w:snapToGrid w:val="0"/>
        <w:spacing w:line="360" w:lineRule="auto"/>
        <w:jc w:val="center"/>
        <w:rPr>
          <w:rFonts w:hint="eastAsia" w:ascii="宋体" w:hAnsi="宋体"/>
          <w:sz w:val="28"/>
          <w:szCs w:val="28"/>
        </w:rPr>
      </w:pPr>
    </w:p>
    <w:p>
      <w:pPr>
        <w:jc w:val="center"/>
        <w:rPr>
          <w:rFonts w:hint="eastAsia" w:ascii="宋体" w:hAnsi="宋体"/>
          <w:sz w:val="28"/>
          <w:szCs w:val="28"/>
        </w:rPr>
      </w:pPr>
    </w:p>
    <w:p>
      <w:pPr>
        <w:jc w:val="center"/>
        <w:rPr>
          <w:rFonts w:hint="eastAsia" w:ascii="宋体" w:hAnsi="宋体"/>
          <w:sz w:val="28"/>
          <w:szCs w:val="28"/>
        </w:rPr>
      </w:pPr>
    </w:p>
    <w:p>
      <w:pPr>
        <w:widowControl/>
        <w:adjustRightInd w:val="0"/>
        <w:snapToGrid w:val="0"/>
        <w:spacing w:line="360" w:lineRule="auto"/>
        <w:jc w:val="center"/>
        <w:rPr>
          <w:rFonts w:hint="eastAsia" w:ascii="宋体" w:hAnsi="宋体"/>
          <w:sz w:val="30"/>
          <w:szCs w:val="30"/>
        </w:rPr>
      </w:pPr>
      <w:r>
        <w:rPr>
          <w:rFonts w:hint="eastAsia" w:ascii="宋体" w:hAnsi="宋体"/>
          <w:sz w:val="30"/>
          <w:szCs w:val="30"/>
        </w:rPr>
        <w:t>招</w:t>
      </w:r>
      <w:r>
        <w:rPr>
          <w:rFonts w:ascii="宋体" w:hAnsi="宋体"/>
          <w:sz w:val="30"/>
          <w:szCs w:val="30"/>
        </w:rPr>
        <w:t>标</w:t>
      </w:r>
      <w:r>
        <w:rPr>
          <w:rFonts w:hint="eastAsia" w:ascii="宋体" w:hAnsi="宋体"/>
          <w:sz w:val="30"/>
          <w:szCs w:val="30"/>
        </w:rPr>
        <w:t>人</w:t>
      </w:r>
      <w:r>
        <w:rPr>
          <w:rFonts w:ascii="宋体" w:hAnsi="宋体"/>
          <w:sz w:val="30"/>
          <w:szCs w:val="30"/>
        </w:rPr>
        <w:t>：深圳市必尚供应链有限公司司</w:t>
      </w:r>
    </w:p>
    <w:p>
      <w:pPr>
        <w:widowControl/>
        <w:adjustRightInd w:val="0"/>
        <w:snapToGrid w:val="0"/>
        <w:spacing w:line="360" w:lineRule="auto"/>
        <w:jc w:val="center"/>
        <w:rPr>
          <w:rFonts w:hint="eastAsia" w:ascii="宋体" w:hAnsi="宋体"/>
          <w:sz w:val="30"/>
          <w:szCs w:val="30"/>
        </w:rPr>
      </w:pPr>
      <w:r>
        <w:rPr>
          <w:rFonts w:ascii="宋体" w:hAnsi="宋体"/>
          <w:sz w:val="30"/>
          <w:szCs w:val="30"/>
        </w:rPr>
        <w:t>202</w:t>
      </w:r>
      <w:r>
        <w:rPr>
          <w:rFonts w:hint="eastAsia" w:ascii="宋体" w:hAnsi="宋体"/>
          <w:sz w:val="30"/>
          <w:szCs w:val="30"/>
        </w:rPr>
        <w:t>4年07月</w:t>
      </w:r>
    </w:p>
    <w:p>
      <w:pPr>
        <w:pStyle w:val="8"/>
        <w:spacing w:after="72"/>
        <w:jc w:val="center"/>
        <w:rPr>
          <w:rFonts w:hint="eastAsia" w:ascii="宋体" w:hAnsi="宋体"/>
          <w:b/>
          <w:sz w:val="80"/>
          <w:szCs w:val="80"/>
        </w:rPr>
      </w:pPr>
    </w:p>
    <w:p>
      <w:pPr>
        <w:pStyle w:val="13"/>
        <w:numPr>
          <w:ilvl w:val="0"/>
          <w:numId w:val="1"/>
        </w:numPr>
        <w:jc w:val="left"/>
        <w:rPr>
          <w:sz w:val="28"/>
          <w:szCs w:val="28"/>
        </w:rPr>
      </w:pPr>
      <w:r>
        <w:rPr>
          <w:rFonts w:hint="eastAsia"/>
          <w:sz w:val="28"/>
          <w:szCs w:val="28"/>
        </w:rPr>
        <w:t>项目概述</w:t>
      </w:r>
    </w:p>
    <w:p>
      <w:pPr>
        <w:numPr>
          <w:ilvl w:val="255"/>
          <w:numId w:val="0"/>
        </w:numPr>
        <w:autoSpaceDE w:val="0"/>
        <w:autoSpaceDN w:val="0"/>
        <w:adjustRightInd w:val="0"/>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w:t>
      </w:r>
      <w:r>
        <w:rPr>
          <w:rFonts w:asciiTheme="minorEastAsia" w:hAnsiTheme="minorEastAsia" w:eastAsiaTheme="minorEastAsia" w:cstheme="minorEastAsia"/>
          <w:sz w:val="24"/>
          <w:szCs w:val="24"/>
        </w:rPr>
        <w:t>名称：</w:t>
      </w:r>
      <w:r>
        <w:rPr>
          <w:rFonts w:hint="eastAsia" w:asciiTheme="minorEastAsia" w:hAnsiTheme="minorEastAsia" w:eastAsiaTheme="minorEastAsia" w:cstheme="minorEastAsia"/>
          <w:sz w:val="24"/>
          <w:szCs w:val="24"/>
        </w:rPr>
        <w:t>通州区有机垃圾资源化综合处理中心</w:t>
      </w:r>
      <w:r>
        <w:rPr>
          <w:rFonts w:asciiTheme="minorEastAsia" w:hAnsiTheme="minorEastAsia" w:eastAsiaTheme="minorEastAsia" w:cstheme="minorEastAsia"/>
          <w:sz w:val="24"/>
          <w:szCs w:val="24"/>
        </w:rPr>
        <w:t>项目</w:t>
      </w:r>
    </w:p>
    <w:p>
      <w:pPr>
        <w:numPr>
          <w:ilvl w:val="255"/>
          <w:numId w:val="0"/>
        </w:numPr>
        <w:autoSpaceDE w:val="0"/>
        <w:autoSpaceDN w:val="0"/>
        <w:adjustRightInd w:val="0"/>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项目地址：通州区永乐店镇，再生能源发电厂东侧的环卫设施预留用地内</w:t>
      </w:r>
    </w:p>
    <w:p>
      <w:pPr>
        <w:numPr>
          <w:ilvl w:val="255"/>
          <w:numId w:val="0"/>
        </w:numPr>
        <w:autoSpaceDE w:val="0"/>
        <w:autoSpaceDN w:val="0"/>
        <w:adjustRightInd w:val="0"/>
        <w:spacing w:line="360" w:lineRule="auto"/>
        <w:ind w:firstLine="480" w:firstLineChars="200"/>
        <w:jc w:val="left"/>
        <w:rPr>
          <w:rFonts w:hint="eastAsia"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项目处理量：</w:t>
      </w:r>
      <w:r>
        <w:rPr>
          <w:rFonts w:hint="eastAsia" w:asciiTheme="minorEastAsia" w:hAnsiTheme="minorEastAsia" w:eastAsiaTheme="minorEastAsia" w:cstheme="minorEastAsia"/>
          <w:sz w:val="24"/>
          <w:szCs w:val="24"/>
        </w:rPr>
        <w:t>规模</w:t>
      </w:r>
      <w:r>
        <w:rPr>
          <w:rFonts w:asciiTheme="minorEastAsia" w:hAnsiTheme="minorEastAsia" w:eastAsiaTheme="minorEastAsia" w:cstheme="minorEastAsia"/>
          <w:sz w:val="24"/>
          <w:szCs w:val="24"/>
        </w:rPr>
        <w:t>2100t/d,</w:t>
      </w:r>
      <w:r>
        <w:rPr>
          <w:rFonts w:hint="eastAsia" w:asciiTheme="minorEastAsia" w:hAnsiTheme="minorEastAsia" w:eastAsiaTheme="minorEastAsia" w:cstheme="minorEastAsia"/>
          <w:sz w:val="24"/>
          <w:szCs w:val="24"/>
        </w:rPr>
        <w:t>其中：餐厨垃圾</w:t>
      </w:r>
      <w:r>
        <w:rPr>
          <w:rFonts w:asciiTheme="minorEastAsia" w:hAnsiTheme="minorEastAsia" w:eastAsiaTheme="minorEastAsia" w:cstheme="minorEastAsia"/>
          <w:sz w:val="24"/>
          <w:szCs w:val="24"/>
        </w:rPr>
        <w:t>400t/d</w:t>
      </w:r>
      <w:r>
        <w:rPr>
          <w:rFonts w:hint="eastAsia" w:asciiTheme="minorEastAsia" w:hAnsiTheme="minorEastAsia" w:eastAsiaTheme="minorEastAsia" w:cstheme="minorEastAsia"/>
          <w:sz w:val="24"/>
          <w:szCs w:val="24"/>
        </w:rPr>
        <w:t>，厨余垃圾</w:t>
      </w:r>
      <w:r>
        <w:rPr>
          <w:rFonts w:asciiTheme="minorEastAsia" w:hAnsiTheme="minorEastAsia" w:eastAsiaTheme="minorEastAsia" w:cstheme="minorEastAsia"/>
          <w:sz w:val="24"/>
          <w:szCs w:val="24"/>
        </w:rPr>
        <w:t>700t/d</w:t>
      </w:r>
      <w:r>
        <w:rPr>
          <w:rFonts w:hint="eastAsia" w:asciiTheme="minorEastAsia" w:hAnsiTheme="minorEastAsia" w:eastAsiaTheme="minorEastAsia" w:cstheme="minorEastAsia"/>
          <w:sz w:val="24"/>
          <w:szCs w:val="24"/>
        </w:rPr>
        <w:t>，粪便</w:t>
      </w:r>
      <w:r>
        <w:rPr>
          <w:rFonts w:asciiTheme="minorEastAsia" w:hAnsiTheme="minorEastAsia" w:eastAsiaTheme="minorEastAsia" w:cstheme="minorEastAsia"/>
          <w:sz w:val="24"/>
          <w:szCs w:val="24"/>
        </w:rPr>
        <w:t>700t/d</w:t>
      </w:r>
      <w:r>
        <w:rPr>
          <w:rFonts w:hint="eastAsia" w:asciiTheme="minorEastAsia" w:hAnsiTheme="minorEastAsia" w:eastAsiaTheme="minorEastAsia" w:cstheme="minorEastAsia"/>
          <w:sz w:val="24"/>
          <w:szCs w:val="24"/>
        </w:rPr>
        <w:t>，废弃食用油脂</w:t>
      </w:r>
      <w:r>
        <w:rPr>
          <w:rFonts w:asciiTheme="minorEastAsia" w:hAnsiTheme="minorEastAsia" w:eastAsiaTheme="minorEastAsia" w:cstheme="minorEastAsia"/>
          <w:sz w:val="24"/>
          <w:szCs w:val="24"/>
        </w:rPr>
        <w:t>300t/d</w:t>
      </w:r>
      <w:r>
        <w:rPr>
          <w:rFonts w:hint="eastAsia" w:asciiTheme="minorEastAsia" w:hAnsiTheme="minorEastAsia" w:eastAsiaTheme="minorEastAsia" w:cstheme="minorEastAsia"/>
          <w:sz w:val="24"/>
          <w:szCs w:val="24"/>
        </w:rPr>
        <w:t>。</w:t>
      </w:r>
    </w:p>
    <w:p>
      <w:pPr>
        <w:numPr>
          <w:ilvl w:val="255"/>
          <w:numId w:val="0"/>
        </w:numPr>
        <w:autoSpaceDE w:val="0"/>
        <w:autoSpaceDN w:val="0"/>
        <w:adjustRightInd w:val="0"/>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供电条件</w:t>
      </w:r>
    </w:p>
    <w:p>
      <w:pPr>
        <w:numPr>
          <w:ilvl w:val="255"/>
          <w:numId w:val="0"/>
        </w:numPr>
        <w:autoSpaceDE w:val="0"/>
        <w:autoSpaceDN w:val="0"/>
        <w:adjustRightInd w:val="0"/>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电源：380/220v±10%   50Hz±2%   三相五线制</w:t>
      </w:r>
    </w:p>
    <w:p>
      <w:pPr>
        <w:numPr>
          <w:ilvl w:val="255"/>
          <w:numId w:val="0"/>
        </w:numPr>
        <w:autoSpaceDE w:val="0"/>
        <w:autoSpaceDN w:val="0"/>
        <w:adjustRightInd w:val="0"/>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接地电阻：               ≤4Ω；</w:t>
      </w:r>
    </w:p>
    <w:p>
      <w:pPr>
        <w:numPr>
          <w:ilvl w:val="255"/>
          <w:numId w:val="0"/>
        </w:numPr>
        <w:autoSpaceDE w:val="0"/>
        <w:autoSpaceDN w:val="0"/>
        <w:adjustRightInd w:val="0"/>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接地方式：               TN-S，联合接地</w:t>
      </w:r>
    </w:p>
    <w:p>
      <w:pPr>
        <w:numPr>
          <w:ilvl w:val="255"/>
          <w:numId w:val="0"/>
        </w:numPr>
        <w:autoSpaceDE w:val="0"/>
        <w:autoSpaceDN w:val="0"/>
        <w:adjustRightInd w:val="0"/>
        <w:spacing w:line="360" w:lineRule="auto"/>
        <w:ind w:firstLine="480" w:firstLineChars="200"/>
        <w:jc w:val="left"/>
        <w:rPr>
          <w:rFonts w:hint="eastAsia"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设备用途：用于</w:t>
      </w:r>
      <w:r>
        <w:rPr>
          <w:rFonts w:hint="eastAsia" w:asciiTheme="minorEastAsia" w:hAnsiTheme="minorEastAsia" w:eastAsiaTheme="minorEastAsia" w:cstheme="minorEastAsia"/>
          <w:sz w:val="24"/>
          <w:szCs w:val="24"/>
        </w:rPr>
        <w:t>通州区有机垃圾资源化综合处理中心</w:t>
      </w:r>
      <w:r>
        <w:rPr>
          <w:rFonts w:asciiTheme="minorEastAsia" w:hAnsiTheme="minorEastAsia" w:eastAsiaTheme="minorEastAsia" w:cstheme="minorEastAsia"/>
          <w:sz w:val="24"/>
          <w:szCs w:val="24"/>
        </w:rPr>
        <w:t>项</w:t>
      </w:r>
      <w:r>
        <w:rPr>
          <w:rFonts w:hint="eastAsia" w:asciiTheme="minorEastAsia" w:hAnsiTheme="minorEastAsia" w:eastAsiaTheme="minorEastAsia" w:cstheme="minorEastAsia"/>
          <w:sz w:val="24"/>
          <w:szCs w:val="24"/>
        </w:rPr>
        <w:t>目</w:t>
      </w:r>
      <w:r>
        <w:rPr>
          <w:rFonts w:asciiTheme="minorEastAsia" w:hAnsiTheme="minorEastAsia" w:eastAsiaTheme="minorEastAsia" w:cstheme="minorEastAsia"/>
          <w:sz w:val="24"/>
          <w:szCs w:val="24"/>
        </w:rPr>
        <w:t>沼渣脱水车间</w:t>
      </w:r>
      <w:r>
        <w:rPr>
          <w:rFonts w:hint="eastAsia" w:asciiTheme="minorEastAsia" w:hAnsiTheme="minorEastAsia" w:eastAsiaTheme="minorEastAsia" w:cstheme="minorEastAsia"/>
          <w:sz w:val="24"/>
          <w:szCs w:val="24"/>
        </w:rPr>
        <w:t>压滤机沼渣</w:t>
      </w:r>
      <w:r>
        <w:rPr>
          <w:rFonts w:asciiTheme="minorEastAsia" w:hAnsiTheme="minorEastAsia" w:eastAsiaTheme="minorEastAsia" w:cstheme="minorEastAsia"/>
          <w:sz w:val="24"/>
          <w:szCs w:val="24"/>
        </w:rPr>
        <w:t>脱水产生的泥饼输送</w:t>
      </w:r>
      <w:r>
        <w:rPr>
          <w:rFonts w:hint="eastAsia" w:asciiTheme="minorEastAsia" w:hAnsiTheme="minorEastAsia" w:eastAsiaTheme="minorEastAsia" w:cstheme="minorEastAsia"/>
          <w:sz w:val="24"/>
          <w:szCs w:val="24"/>
        </w:rPr>
        <w:t>、</w:t>
      </w:r>
      <w:r>
        <w:rPr>
          <w:rFonts w:asciiTheme="minorEastAsia" w:hAnsiTheme="minorEastAsia" w:eastAsiaTheme="minorEastAsia" w:cstheme="minorEastAsia"/>
          <w:sz w:val="24"/>
          <w:szCs w:val="24"/>
        </w:rPr>
        <w:t>暂存及转移。</w:t>
      </w:r>
    </w:p>
    <w:p>
      <w:pPr>
        <w:numPr>
          <w:ilvl w:val="255"/>
          <w:numId w:val="0"/>
        </w:numPr>
        <w:autoSpaceDE w:val="0"/>
        <w:autoSpaceDN w:val="0"/>
        <w:adjustRightInd w:val="0"/>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交货期： 暂定2</w:t>
      </w:r>
      <w:r>
        <w:rPr>
          <w:rFonts w:asciiTheme="minorEastAsia" w:hAnsiTheme="minorEastAsia" w:eastAsiaTheme="minorEastAsia" w:cstheme="minorEastAsia"/>
          <w:sz w:val="24"/>
          <w:szCs w:val="24"/>
        </w:rPr>
        <w:t>025</w:t>
      </w:r>
      <w:r>
        <w:rPr>
          <w:rFonts w:hint="eastAsia" w:asciiTheme="minorEastAsia" w:hAnsiTheme="minorEastAsia" w:eastAsiaTheme="minorEastAsia" w:cstheme="minorEastAsia"/>
          <w:sz w:val="24"/>
          <w:szCs w:val="24"/>
        </w:rPr>
        <w:t>年5月</w:t>
      </w:r>
      <w:r>
        <w:rPr>
          <w:rFonts w:asciiTheme="minorEastAsia" w:hAnsiTheme="minorEastAsia" w:eastAsiaTheme="minorEastAsia" w:cstheme="minorEastAsia"/>
          <w:sz w:val="24"/>
          <w:szCs w:val="24"/>
        </w:rPr>
        <w:t>到货</w:t>
      </w:r>
      <w:r>
        <w:rPr>
          <w:rFonts w:hint="eastAsia" w:asciiTheme="minorEastAsia" w:hAnsiTheme="minorEastAsia" w:eastAsiaTheme="minorEastAsia" w:cstheme="minorEastAsia"/>
          <w:sz w:val="24"/>
          <w:szCs w:val="24"/>
        </w:rPr>
        <w:t>，</w:t>
      </w:r>
      <w:r>
        <w:rPr>
          <w:rFonts w:asciiTheme="minorEastAsia" w:hAnsiTheme="minorEastAsia" w:eastAsiaTheme="minorEastAsia" w:cstheme="minorEastAsia"/>
          <w:sz w:val="24"/>
          <w:szCs w:val="24"/>
        </w:rPr>
        <w:t>具体安装时间根据现场</w:t>
      </w:r>
      <w:r>
        <w:rPr>
          <w:rFonts w:hint="eastAsia" w:asciiTheme="minorEastAsia" w:hAnsiTheme="minorEastAsia" w:eastAsiaTheme="minorEastAsia" w:cstheme="minorEastAsia"/>
          <w:sz w:val="24"/>
          <w:szCs w:val="24"/>
        </w:rPr>
        <w:t>施工</w:t>
      </w:r>
      <w:r>
        <w:rPr>
          <w:rFonts w:asciiTheme="minorEastAsia" w:hAnsiTheme="minorEastAsia" w:eastAsiaTheme="minorEastAsia" w:cstheme="minorEastAsia"/>
          <w:sz w:val="24"/>
          <w:szCs w:val="24"/>
        </w:rPr>
        <w:t>条件确定</w:t>
      </w:r>
    </w:p>
    <w:p>
      <w:pPr>
        <w:numPr>
          <w:ilvl w:val="255"/>
          <w:numId w:val="0"/>
        </w:numPr>
        <w:autoSpaceDE w:val="0"/>
        <w:autoSpaceDN w:val="0"/>
        <w:adjustRightInd w:val="0"/>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交货地点：通州区永乐店镇，再生能源发电厂东侧的环卫设施预留用地内或买方指定位置。</w:t>
      </w:r>
    </w:p>
    <w:p>
      <w:pPr>
        <w:pStyle w:val="13"/>
        <w:numPr>
          <w:ilvl w:val="0"/>
          <w:numId w:val="1"/>
        </w:numPr>
        <w:jc w:val="left"/>
        <w:rPr>
          <w:sz w:val="28"/>
          <w:szCs w:val="28"/>
        </w:rPr>
      </w:pPr>
      <w:r>
        <w:rPr>
          <w:rFonts w:hint="eastAsia"/>
          <w:sz w:val="28"/>
          <w:szCs w:val="28"/>
        </w:rPr>
        <w:t>设备清单及参数</w:t>
      </w:r>
      <w:r>
        <w:rPr>
          <w:sz w:val="28"/>
          <w:szCs w:val="28"/>
        </w:rPr>
        <w:t>说明</w:t>
      </w:r>
    </w:p>
    <w:tbl>
      <w:tblPr>
        <w:tblStyle w:val="15"/>
        <w:tblW w:w="90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5"/>
        <w:gridCol w:w="1378"/>
        <w:gridCol w:w="4898"/>
        <w:gridCol w:w="772"/>
        <w:gridCol w:w="11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5" w:type="dxa"/>
            <w:shd w:val="clear" w:color="auto" w:fill="auto"/>
            <w:vAlign w:val="center"/>
          </w:tcPr>
          <w:p>
            <w:pPr>
              <w:spacing w:line="276" w:lineRule="auto"/>
              <w:jc w:val="center"/>
              <w:rPr>
                <w:rFonts w:hint="eastAsia" w:ascii="宋体" w:hAnsi="宋体"/>
                <w:b/>
                <w:szCs w:val="21"/>
              </w:rPr>
            </w:pPr>
            <w:r>
              <w:rPr>
                <w:rFonts w:hint="eastAsia" w:ascii="宋体" w:hAnsi="宋体"/>
                <w:b/>
                <w:szCs w:val="21"/>
              </w:rPr>
              <w:t>序号</w:t>
            </w:r>
          </w:p>
        </w:tc>
        <w:tc>
          <w:tcPr>
            <w:tcW w:w="1378" w:type="dxa"/>
            <w:shd w:val="clear" w:color="auto" w:fill="auto"/>
            <w:vAlign w:val="center"/>
          </w:tcPr>
          <w:p>
            <w:pPr>
              <w:spacing w:line="276" w:lineRule="auto"/>
              <w:jc w:val="center"/>
              <w:rPr>
                <w:rFonts w:hint="eastAsia" w:ascii="宋体" w:hAnsi="宋体"/>
                <w:b/>
                <w:szCs w:val="21"/>
              </w:rPr>
            </w:pPr>
            <w:r>
              <w:rPr>
                <w:rFonts w:hint="eastAsia" w:ascii="宋体" w:hAnsi="宋体"/>
                <w:b/>
                <w:szCs w:val="21"/>
              </w:rPr>
              <w:t>名称</w:t>
            </w:r>
          </w:p>
        </w:tc>
        <w:tc>
          <w:tcPr>
            <w:tcW w:w="4898" w:type="dxa"/>
            <w:shd w:val="clear" w:color="auto" w:fill="auto"/>
            <w:vAlign w:val="center"/>
          </w:tcPr>
          <w:p>
            <w:pPr>
              <w:spacing w:line="276" w:lineRule="auto"/>
              <w:jc w:val="center"/>
              <w:rPr>
                <w:rFonts w:hint="eastAsia" w:ascii="宋体" w:hAnsi="宋体"/>
                <w:b/>
                <w:szCs w:val="21"/>
              </w:rPr>
            </w:pPr>
            <w:r>
              <w:rPr>
                <w:rFonts w:hint="eastAsia" w:ascii="宋体" w:hAnsi="宋体"/>
                <w:b/>
                <w:szCs w:val="21"/>
              </w:rPr>
              <w:t>规格型号/参数</w:t>
            </w:r>
          </w:p>
        </w:tc>
        <w:tc>
          <w:tcPr>
            <w:tcW w:w="772" w:type="dxa"/>
            <w:shd w:val="clear" w:color="auto" w:fill="auto"/>
            <w:vAlign w:val="center"/>
          </w:tcPr>
          <w:p>
            <w:pPr>
              <w:spacing w:line="276" w:lineRule="auto"/>
              <w:jc w:val="center"/>
              <w:rPr>
                <w:rFonts w:hint="eastAsia" w:ascii="宋体" w:hAnsi="宋体"/>
                <w:b/>
                <w:szCs w:val="21"/>
              </w:rPr>
            </w:pPr>
            <w:r>
              <w:rPr>
                <w:rFonts w:hint="eastAsia" w:ascii="宋体" w:hAnsi="宋体"/>
                <w:b/>
                <w:szCs w:val="21"/>
              </w:rPr>
              <w:t>数量</w:t>
            </w:r>
          </w:p>
        </w:tc>
        <w:tc>
          <w:tcPr>
            <w:tcW w:w="1143" w:type="dxa"/>
            <w:shd w:val="clear" w:color="auto" w:fill="auto"/>
            <w:vAlign w:val="center"/>
          </w:tcPr>
          <w:p>
            <w:pPr>
              <w:spacing w:line="276" w:lineRule="auto"/>
              <w:jc w:val="center"/>
              <w:rPr>
                <w:rFonts w:hint="eastAsia" w:ascii="宋体" w:hAnsi="宋体"/>
                <w:b/>
                <w:szCs w:val="21"/>
              </w:rPr>
            </w:pPr>
            <w:r>
              <w:rPr>
                <w:rFonts w:hint="eastAsia" w:ascii="宋体" w:hAnsi="宋体"/>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5" w:type="dxa"/>
            <w:shd w:val="clear" w:color="auto" w:fill="auto"/>
            <w:vAlign w:val="center"/>
          </w:tcPr>
          <w:p>
            <w:pPr>
              <w:spacing w:line="276" w:lineRule="auto"/>
              <w:jc w:val="center"/>
              <w:rPr>
                <w:rFonts w:hint="eastAsia" w:ascii="宋体" w:hAnsi="宋体"/>
                <w:szCs w:val="21"/>
              </w:rPr>
            </w:pPr>
            <w:r>
              <w:rPr>
                <w:rFonts w:hint="eastAsia" w:ascii="宋体" w:hAnsi="宋体"/>
                <w:szCs w:val="21"/>
              </w:rPr>
              <w:t>1</w:t>
            </w:r>
          </w:p>
        </w:tc>
        <w:tc>
          <w:tcPr>
            <w:tcW w:w="1378" w:type="dxa"/>
            <w:shd w:val="clear" w:color="auto" w:fill="auto"/>
            <w:vAlign w:val="center"/>
          </w:tcPr>
          <w:p>
            <w:pPr>
              <w:spacing w:line="276" w:lineRule="auto"/>
              <w:jc w:val="center"/>
              <w:rPr>
                <w:rFonts w:hint="eastAsia" w:ascii="宋体" w:hAnsi="宋体"/>
                <w:szCs w:val="21"/>
              </w:rPr>
            </w:pPr>
            <w:r>
              <w:rPr>
                <w:rFonts w:hint="eastAsia" w:ascii="宋体" w:hAnsi="宋体"/>
                <w:szCs w:val="21"/>
              </w:rPr>
              <w:t>1</w:t>
            </w:r>
            <w:r>
              <w:rPr>
                <w:rFonts w:ascii="宋体" w:hAnsi="宋体"/>
                <w:szCs w:val="21"/>
              </w:rPr>
              <w:t>#</w:t>
            </w:r>
            <w:r>
              <w:rPr>
                <w:rFonts w:hint="eastAsia" w:ascii="宋体" w:hAnsi="宋体"/>
                <w:szCs w:val="21"/>
              </w:rPr>
              <w:t>压滤机排渣</w:t>
            </w:r>
            <w:r>
              <w:rPr>
                <w:rFonts w:ascii="宋体" w:hAnsi="宋体"/>
                <w:szCs w:val="21"/>
              </w:rPr>
              <w:t>螺旋</w:t>
            </w:r>
          </w:p>
        </w:tc>
        <w:tc>
          <w:tcPr>
            <w:tcW w:w="4898" w:type="dxa"/>
            <w:shd w:val="clear" w:color="auto" w:fill="auto"/>
            <w:vAlign w:val="center"/>
          </w:tcPr>
          <w:p>
            <w:pPr>
              <w:numPr>
                <w:ilvl w:val="0"/>
                <w:numId w:val="2"/>
              </w:numPr>
              <w:spacing w:line="276" w:lineRule="auto"/>
              <w:rPr>
                <w:rFonts w:hint="eastAsia" w:ascii="宋体" w:hAnsi="宋体" w:cs="长仿宋体"/>
                <w:kern w:val="0"/>
                <w:szCs w:val="21"/>
              </w:rPr>
            </w:pPr>
            <w:r>
              <w:rPr>
                <w:rFonts w:hint="eastAsia" w:ascii="宋体" w:hAnsi="宋体" w:cs="长仿宋体"/>
                <w:kern w:val="0"/>
                <w:szCs w:val="21"/>
              </w:rPr>
              <w:t>型号：DLS2 x</w:t>
            </w:r>
            <w:r>
              <w:rPr>
                <w:rFonts w:ascii="宋体" w:hAnsi="宋体" w:cs="长仿宋体"/>
                <w:kern w:val="0"/>
                <w:szCs w:val="21"/>
              </w:rPr>
              <w:t xml:space="preserve"> 45</w:t>
            </w:r>
            <w:r>
              <w:rPr>
                <w:rFonts w:hint="eastAsia" w:ascii="宋体" w:hAnsi="宋体" w:cs="长仿宋体"/>
                <w:kern w:val="0"/>
                <w:szCs w:val="21"/>
              </w:rPr>
              <w:t>0x14.</w:t>
            </w:r>
            <w:r>
              <w:rPr>
                <w:rFonts w:ascii="宋体" w:hAnsi="宋体" w:cs="长仿宋体"/>
                <w:kern w:val="0"/>
                <w:szCs w:val="21"/>
              </w:rPr>
              <w:t>66</w:t>
            </w:r>
            <w:r>
              <w:rPr>
                <w:rFonts w:hint="eastAsia" w:ascii="宋体" w:hAnsi="宋体" w:cs="长仿宋体"/>
                <w:kern w:val="0"/>
                <w:szCs w:val="21"/>
              </w:rPr>
              <w:t>；</w:t>
            </w:r>
          </w:p>
          <w:p>
            <w:pPr>
              <w:numPr>
                <w:ilvl w:val="0"/>
                <w:numId w:val="2"/>
              </w:numPr>
              <w:spacing w:line="276" w:lineRule="auto"/>
              <w:rPr>
                <w:rFonts w:hint="eastAsia" w:ascii="宋体" w:hAnsi="宋体" w:cs="长仿宋体"/>
                <w:kern w:val="0"/>
                <w:szCs w:val="21"/>
              </w:rPr>
            </w:pPr>
            <w:r>
              <w:rPr>
                <w:rFonts w:hint="eastAsia" w:ascii="宋体" w:hAnsi="宋体" w:cs="长仿宋体"/>
                <w:kern w:val="0"/>
                <w:szCs w:val="21"/>
              </w:rPr>
              <w:t>输送量：3</w:t>
            </w:r>
            <w:r>
              <w:rPr>
                <w:rFonts w:ascii="宋体" w:hAnsi="宋体" w:cs="长仿宋体"/>
                <w:kern w:val="0"/>
                <w:szCs w:val="21"/>
              </w:rPr>
              <w:t>0</w:t>
            </w:r>
            <w:r>
              <w:rPr>
                <w:rFonts w:hint="eastAsia" w:ascii="宋体" w:hAnsi="宋体" w:cs="长仿宋体"/>
                <w:kern w:val="0"/>
                <w:szCs w:val="21"/>
              </w:rPr>
              <w:t>m³/h；</w:t>
            </w:r>
          </w:p>
          <w:p>
            <w:pPr>
              <w:numPr>
                <w:ilvl w:val="0"/>
                <w:numId w:val="2"/>
              </w:numPr>
              <w:spacing w:line="276" w:lineRule="auto"/>
              <w:rPr>
                <w:rFonts w:hint="eastAsia" w:ascii="宋体" w:hAnsi="宋体" w:cs="长仿宋体"/>
                <w:kern w:val="0"/>
                <w:szCs w:val="21"/>
              </w:rPr>
            </w:pPr>
            <w:r>
              <w:rPr>
                <w:rFonts w:hint="eastAsia" w:ascii="宋体" w:hAnsi="宋体" w:cs="长仿宋体"/>
                <w:kern w:val="0"/>
                <w:szCs w:val="21"/>
              </w:rPr>
              <w:t>螺旋外径</w:t>
            </w:r>
            <w:r>
              <w:rPr>
                <w:rFonts w:ascii="宋体" w:hAnsi="宋体" w:cs="长仿宋体"/>
                <w:kern w:val="0"/>
                <w:szCs w:val="21"/>
              </w:rPr>
              <w:t>：</w:t>
            </w:r>
            <w:r>
              <w:rPr>
                <w:rFonts w:hint="eastAsia" w:ascii="宋体" w:hAnsi="宋体" w:cs="长仿宋体"/>
                <w:kern w:val="0"/>
                <w:szCs w:val="21"/>
              </w:rPr>
              <w:t>φ4</w:t>
            </w:r>
            <w:r>
              <w:rPr>
                <w:rFonts w:ascii="宋体" w:hAnsi="宋体" w:cs="长仿宋体"/>
                <w:kern w:val="0"/>
                <w:szCs w:val="21"/>
              </w:rPr>
              <w:t>5</w:t>
            </w:r>
            <w:r>
              <w:rPr>
                <w:rFonts w:hint="eastAsia" w:ascii="宋体" w:hAnsi="宋体" w:cs="长仿宋体"/>
                <w:kern w:val="0"/>
                <w:szCs w:val="21"/>
              </w:rPr>
              <w:t>0</w:t>
            </w:r>
            <w:r>
              <w:rPr>
                <w:rFonts w:ascii="宋体" w:hAnsi="宋体" w:cs="长仿宋体"/>
                <w:kern w:val="0"/>
                <w:szCs w:val="21"/>
              </w:rPr>
              <w:t>mm，厚度</w:t>
            </w:r>
            <w:r>
              <w:rPr>
                <w:rFonts w:hint="eastAsia" w:ascii="宋体" w:hAnsi="宋体" w:cs="长仿宋体"/>
                <w:kern w:val="0"/>
                <w:szCs w:val="21"/>
              </w:rPr>
              <w:t>≥10</w:t>
            </w:r>
            <w:r>
              <w:rPr>
                <w:rFonts w:ascii="宋体" w:hAnsi="宋体" w:cs="长仿宋体"/>
                <w:kern w:val="0"/>
                <w:szCs w:val="21"/>
              </w:rPr>
              <w:t>mm</w:t>
            </w:r>
            <w:r>
              <w:rPr>
                <w:rFonts w:hint="eastAsia" w:ascii="宋体" w:hAnsi="宋体" w:cs="长仿宋体"/>
                <w:kern w:val="0"/>
                <w:szCs w:val="21"/>
              </w:rPr>
              <w:t>，螺距400mm；有轴螺旋，轴径供应商根据计算结果确定；</w:t>
            </w:r>
            <w:r>
              <w:rPr>
                <w:rFonts w:ascii="宋体" w:hAnsi="宋体" w:cs="长仿宋体"/>
                <w:kern w:val="0"/>
                <w:szCs w:val="21"/>
              </w:rPr>
              <w:t xml:space="preserve"> </w:t>
            </w:r>
          </w:p>
          <w:p>
            <w:pPr>
              <w:numPr>
                <w:ilvl w:val="0"/>
                <w:numId w:val="2"/>
              </w:numPr>
              <w:spacing w:line="276" w:lineRule="auto"/>
              <w:rPr>
                <w:rFonts w:hint="eastAsia" w:ascii="宋体" w:hAnsi="宋体" w:cs="长仿宋体"/>
                <w:kern w:val="0"/>
                <w:szCs w:val="21"/>
              </w:rPr>
            </w:pPr>
            <w:r>
              <w:rPr>
                <w:rFonts w:hint="eastAsia" w:ascii="宋体" w:hAnsi="宋体" w:cs="长仿宋体"/>
                <w:kern w:val="0"/>
                <w:szCs w:val="21"/>
              </w:rPr>
              <w:t>衬板：Q3</w:t>
            </w:r>
            <w:r>
              <w:rPr>
                <w:rFonts w:ascii="宋体" w:hAnsi="宋体" w:cs="长仿宋体"/>
                <w:kern w:val="0"/>
                <w:szCs w:val="21"/>
              </w:rPr>
              <w:t>5</w:t>
            </w:r>
            <w:r>
              <w:rPr>
                <w:rFonts w:hint="eastAsia" w:ascii="宋体" w:hAnsi="宋体" w:cs="长仿宋体"/>
                <w:kern w:val="0"/>
                <w:szCs w:val="21"/>
              </w:rPr>
              <w:t>5B,</w:t>
            </w:r>
            <w:r>
              <w:rPr>
                <w:rFonts w:ascii="宋体" w:hAnsi="宋体" w:cs="长仿宋体"/>
                <w:kern w:val="0"/>
                <w:szCs w:val="21"/>
              </w:rPr>
              <w:t>厚度</w:t>
            </w:r>
            <w:r>
              <w:rPr>
                <w:rFonts w:hint="eastAsia" w:ascii="宋体" w:hAnsi="宋体" w:cs="长仿宋体"/>
                <w:kern w:val="0"/>
                <w:szCs w:val="21"/>
              </w:rPr>
              <w:t>8</w:t>
            </w:r>
            <w:r>
              <w:rPr>
                <w:rFonts w:ascii="宋体" w:hAnsi="宋体" w:cs="长仿宋体"/>
                <w:kern w:val="0"/>
                <w:szCs w:val="21"/>
              </w:rPr>
              <w:t xml:space="preserve">mm； </w:t>
            </w:r>
          </w:p>
          <w:p>
            <w:pPr>
              <w:numPr>
                <w:ilvl w:val="0"/>
                <w:numId w:val="2"/>
              </w:numPr>
              <w:spacing w:line="276" w:lineRule="auto"/>
              <w:rPr>
                <w:rFonts w:hint="eastAsia" w:ascii="宋体" w:hAnsi="宋体" w:cs="长仿宋体"/>
                <w:kern w:val="0"/>
                <w:szCs w:val="21"/>
              </w:rPr>
            </w:pPr>
            <w:r>
              <w:rPr>
                <w:rFonts w:hint="eastAsia" w:ascii="宋体" w:hAnsi="宋体" w:cs="长仿宋体"/>
                <w:kern w:val="0"/>
                <w:szCs w:val="21"/>
              </w:rPr>
              <w:t>螺旋槽</w:t>
            </w:r>
            <w:r>
              <w:rPr>
                <w:rFonts w:ascii="宋体" w:hAnsi="宋体" w:cs="长仿宋体"/>
                <w:kern w:val="0"/>
                <w:szCs w:val="21"/>
              </w:rPr>
              <w:t>：厚度</w:t>
            </w:r>
            <w:r>
              <w:rPr>
                <w:rFonts w:hint="eastAsia" w:ascii="宋体" w:hAnsi="宋体" w:cs="长仿宋体"/>
                <w:kern w:val="0"/>
                <w:szCs w:val="21"/>
              </w:rPr>
              <w:t>≥5</w:t>
            </w:r>
            <w:r>
              <w:rPr>
                <w:rFonts w:ascii="宋体" w:hAnsi="宋体" w:cs="长仿宋体"/>
                <w:kern w:val="0"/>
                <w:szCs w:val="21"/>
              </w:rPr>
              <w:t>mm</w:t>
            </w:r>
            <w:r>
              <w:rPr>
                <w:rFonts w:hint="eastAsia" w:ascii="宋体" w:hAnsi="宋体" w:cs="长仿宋体"/>
                <w:kern w:val="0"/>
                <w:szCs w:val="21"/>
              </w:rPr>
              <w:t>；</w:t>
            </w:r>
            <w:r>
              <w:rPr>
                <w:rFonts w:ascii="宋体" w:hAnsi="宋体" w:cs="长仿宋体"/>
                <w:kern w:val="0"/>
                <w:szCs w:val="21"/>
              </w:rPr>
              <w:t>盖板</w:t>
            </w:r>
            <w:r>
              <w:rPr>
                <w:rFonts w:hint="eastAsia" w:ascii="宋体" w:hAnsi="宋体" w:cs="长仿宋体"/>
                <w:kern w:val="0"/>
                <w:szCs w:val="21"/>
              </w:rPr>
              <w:t>厚度3</w:t>
            </w:r>
            <w:r>
              <w:rPr>
                <w:rFonts w:ascii="宋体" w:hAnsi="宋体" w:cs="长仿宋体"/>
                <w:kern w:val="0"/>
                <w:szCs w:val="21"/>
              </w:rPr>
              <w:t>mm</w:t>
            </w:r>
            <w:r>
              <w:rPr>
                <w:rFonts w:hint="eastAsia" w:ascii="宋体" w:hAnsi="宋体" w:cs="长仿宋体"/>
                <w:kern w:val="0"/>
                <w:szCs w:val="21"/>
              </w:rPr>
              <w:t>；</w:t>
            </w:r>
            <w:r>
              <w:rPr>
                <w:rFonts w:ascii="宋体" w:hAnsi="宋体" w:cs="长仿宋体"/>
                <w:kern w:val="0"/>
                <w:szCs w:val="21"/>
              </w:rPr>
              <w:t xml:space="preserve"> </w:t>
            </w:r>
          </w:p>
          <w:p>
            <w:pPr>
              <w:numPr>
                <w:ilvl w:val="0"/>
                <w:numId w:val="2"/>
              </w:numPr>
              <w:spacing w:line="276" w:lineRule="auto"/>
              <w:rPr>
                <w:rFonts w:hint="eastAsia" w:ascii="宋体" w:hAnsi="宋体" w:cs="长仿宋体"/>
                <w:kern w:val="0"/>
                <w:szCs w:val="21"/>
              </w:rPr>
            </w:pPr>
            <w:r>
              <w:rPr>
                <w:rFonts w:hint="eastAsia" w:ascii="宋体" w:hAnsi="宋体" w:cs="长仿宋体"/>
                <w:kern w:val="0"/>
                <w:szCs w:val="21"/>
              </w:rPr>
              <w:t>输送</w:t>
            </w:r>
            <w:r>
              <w:rPr>
                <w:rFonts w:ascii="宋体" w:hAnsi="宋体" w:cs="长仿宋体"/>
                <w:kern w:val="0"/>
                <w:szCs w:val="21"/>
              </w:rPr>
              <w:t>长度：</w:t>
            </w:r>
            <w:r>
              <w:rPr>
                <w:rFonts w:hint="eastAsia" w:ascii="宋体" w:hAnsi="宋体" w:cs="长仿宋体"/>
                <w:kern w:val="0"/>
                <w:szCs w:val="21"/>
              </w:rPr>
              <w:t>14.66</w:t>
            </w:r>
            <w:r>
              <w:rPr>
                <w:rFonts w:ascii="宋体" w:hAnsi="宋体" w:cs="长仿宋体"/>
                <w:kern w:val="0"/>
                <w:szCs w:val="21"/>
              </w:rPr>
              <w:t>m；</w:t>
            </w:r>
          </w:p>
          <w:p>
            <w:pPr>
              <w:numPr>
                <w:ilvl w:val="0"/>
                <w:numId w:val="2"/>
              </w:numPr>
              <w:spacing w:line="276" w:lineRule="auto"/>
              <w:rPr>
                <w:rFonts w:hint="eastAsia" w:ascii="宋体" w:hAnsi="宋体" w:cs="长仿宋体"/>
                <w:kern w:val="0"/>
                <w:szCs w:val="21"/>
              </w:rPr>
            </w:pPr>
            <w:r>
              <w:rPr>
                <w:rFonts w:hint="eastAsia" w:ascii="宋体" w:hAnsi="宋体" w:cs="长仿宋体"/>
                <w:kern w:val="0"/>
                <w:szCs w:val="21"/>
              </w:rPr>
              <w:t>安装角度</w:t>
            </w:r>
            <w:r>
              <w:rPr>
                <w:rFonts w:ascii="宋体" w:hAnsi="宋体" w:cs="长仿宋体"/>
                <w:kern w:val="0"/>
                <w:szCs w:val="21"/>
              </w:rPr>
              <w:t>：</w:t>
            </w:r>
            <w:r>
              <w:rPr>
                <w:rFonts w:hint="eastAsia" w:ascii="宋体" w:hAnsi="宋体" w:cs="长仿宋体"/>
                <w:kern w:val="0"/>
                <w:szCs w:val="21"/>
              </w:rPr>
              <w:t>0°</w:t>
            </w:r>
            <w:r>
              <w:rPr>
                <w:rFonts w:ascii="宋体" w:hAnsi="宋体" w:cs="长仿宋体"/>
                <w:kern w:val="0"/>
                <w:szCs w:val="21"/>
              </w:rPr>
              <w:t>；</w:t>
            </w:r>
          </w:p>
          <w:p>
            <w:pPr>
              <w:numPr>
                <w:ilvl w:val="0"/>
                <w:numId w:val="2"/>
              </w:numPr>
              <w:spacing w:line="276" w:lineRule="auto"/>
              <w:rPr>
                <w:rFonts w:hint="eastAsia" w:ascii="宋体" w:hAnsi="宋体" w:cs="长仿宋体"/>
                <w:kern w:val="0"/>
                <w:szCs w:val="21"/>
              </w:rPr>
            </w:pPr>
            <w:r>
              <w:rPr>
                <w:rFonts w:hint="eastAsia" w:ascii="宋体" w:hAnsi="宋体" w:cs="长仿宋体"/>
                <w:kern w:val="0"/>
                <w:szCs w:val="21"/>
              </w:rPr>
              <w:t>材质：槽体、</w:t>
            </w:r>
            <w:r>
              <w:rPr>
                <w:rFonts w:ascii="宋体" w:hAnsi="宋体" w:cs="长仿宋体"/>
                <w:kern w:val="0"/>
                <w:szCs w:val="21"/>
              </w:rPr>
              <w:t>进出口</w:t>
            </w:r>
            <w:r>
              <w:rPr>
                <w:rFonts w:hint="eastAsia" w:ascii="宋体" w:hAnsi="宋体" w:cs="长仿宋体"/>
                <w:kern w:val="0"/>
                <w:szCs w:val="21"/>
              </w:rPr>
              <w:t>板、盖板304不锈钢，螺旋体为Q</w:t>
            </w:r>
            <w:r>
              <w:rPr>
                <w:rFonts w:ascii="宋体" w:hAnsi="宋体" w:cs="长仿宋体"/>
                <w:kern w:val="0"/>
                <w:szCs w:val="21"/>
              </w:rPr>
              <w:t>355B</w:t>
            </w:r>
            <w:r>
              <w:rPr>
                <w:rFonts w:hint="eastAsia" w:ascii="宋体" w:hAnsi="宋体" w:cs="长仿宋体"/>
                <w:kern w:val="0"/>
                <w:szCs w:val="21"/>
              </w:rPr>
              <w:t>，衬板Q3</w:t>
            </w:r>
            <w:r>
              <w:rPr>
                <w:rFonts w:ascii="宋体" w:hAnsi="宋体" w:cs="长仿宋体"/>
                <w:kern w:val="0"/>
                <w:szCs w:val="21"/>
              </w:rPr>
              <w:t>5</w:t>
            </w:r>
            <w:r>
              <w:rPr>
                <w:rFonts w:hint="eastAsia" w:ascii="宋体" w:hAnsi="宋体" w:cs="长仿宋体"/>
                <w:kern w:val="0"/>
                <w:szCs w:val="21"/>
              </w:rPr>
              <w:t>5B，</w:t>
            </w:r>
            <w:r>
              <w:rPr>
                <w:rFonts w:ascii="宋体" w:hAnsi="宋体" w:cs="长仿宋体"/>
                <w:kern w:val="0"/>
                <w:szCs w:val="21"/>
              </w:rPr>
              <w:t>支腿</w:t>
            </w:r>
            <w:r>
              <w:rPr>
                <w:rFonts w:hint="eastAsia" w:ascii="宋体" w:hAnsi="宋体" w:cs="长仿宋体"/>
                <w:kern w:val="0"/>
                <w:szCs w:val="21"/>
              </w:rPr>
              <w:t>Q235B；</w:t>
            </w:r>
          </w:p>
          <w:p>
            <w:pPr>
              <w:numPr>
                <w:ilvl w:val="0"/>
                <w:numId w:val="2"/>
              </w:numPr>
              <w:spacing w:line="276" w:lineRule="auto"/>
              <w:rPr>
                <w:rFonts w:hint="eastAsia" w:ascii="宋体" w:hAnsi="宋体" w:cs="长仿宋体"/>
                <w:kern w:val="0"/>
                <w:szCs w:val="21"/>
              </w:rPr>
            </w:pPr>
            <w:r>
              <w:rPr>
                <w:rFonts w:hint="eastAsia" w:ascii="宋体" w:hAnsi="宋体" w:cs="长仿宋体"/>
                <w:kern w:val="0"/>
                <w:szCs w:val="21"/>
              </w:rPr>
              <w:t>电机：380V/50H</w:t>
            </w:r>
            <w:r>
              <w:rPr>
                <w:rFonts w:ascii="宋体" w:hAnsi="宋体" w:cs="长仿宋体"/>
                <w:kern w:val="0"/>
                <w:szCs w:val="21"/>
              </w:rPr>
              <w:t>z</w:t>
            </w:r>
            <w:r>
              <w:rPr>
                <w:rFonts w:hint="eastAsia" w:ascii="宋体" w:hAnsi="宋体" w:cs="长仿宋体"/>
                <w:kern w:val="0"/>
                <w:szCs w:val="21"/>
              </w:rPr>
              <w:t>，</w:t>
            </w:r>
            <w:r>
              <w:rPr>
                <w:rFonts w:ascii="宋体" w:hAnsi="宋体" w:cs="长仿宋体"/>
                <w:kern w:val="0"/>
                <w:szCs w:val="21"/>
              </w:rPr>
              <w:t>变频</w:t>
            </w:r>
            <w:r>
              <w:rPr>
                <w:rFonts w:hint="eastAsia" w:ascii="宋体" w:hAnsi="宋体" w:cs="长仿宋体"/>
                <w:kern w:val="0"/>
                <w:szCs w:val="21"/>
              </w:rPr>
              <w:t>调速，冷却风扇独立电源；</w:t>
            </w:r>
          </w:p>
          <w:p>
            <w:pPr>
              <w:numPr>
                <w:ilvl w:val="0"/>
                <w:numId w:val="2"/>
              </w:numPr>
              <w:spacing w:line="276" w:lineRule="auto"/>
              <w:rPr>
                <w:rFonts w:hint="eastAsia" w:ascii="宋体" w:hAnsi="宋体" w:cs="长仿宋体"/>
                <w:kern w:val="0"/>
                <w:szCs w:val="21"/>
              </w:rPr>
            </w:pPr>
            <w:r>
              <w:rPr>
                <w:rFonts w:hint="eastAsia" w:ascii="宋体" w:hAnsi="宋体" w:cs="长仿宋体"/>
                <w:kern w:val="0"/>
                <w:szCs w:val="21"/>
              </w:rPr>
              <w:t>减速</w:t>
            </w:r>
            <w:r>
              <w:rPr>
                <w:rFonts w:ascii="宋体" w:hAnsi="宋体" w:cs="长仿宋体"/>
                <w:kern w:val="0"/>
                <w:szCs w:val="21"/>
              </w:rPr>
              <w:t>电机：</w:t>
            </w:r>
            <w:r>
              <w:rPr>
                <w:rFonts w:hint="eastAsia" w:ascii="宋体" w:hAnsi="宋体" w:cs="长仿宋体"/>
                <w:kern w:val="0"/>
                <w:szCs w:val="21"/>
              </w:rPr>
              <w:t>国贸、浙江恒齿、浙江通力或同等品牌；</w:t>
            </w:r>
          </w:p>
          <w:p>
            <w:pPr>
              <w:numPr>
                <w:ilvl w:val="0"/>
                <w:numId w:val="2"/>
              </w:numPr>
              <w:spacing w:line="276" w:lineRule="auto"/>
              <w:rPr>
                <w:rFonts w:hint="eastAsia" w:ascii="宋体" w:hAnsi="宋体" w:cs="长仿宋体"/>
                <w:kern w:val="0"/>
                <w:szCs w:val="21"/>
              </w:rPr>
            </w:pPr>
            <w:r>
              <w:rPr>
                <w:rFonts w:hint="eastAsia" w:ascii="宋体" w:hAnsi="宋体" w:cs="长仿宋体"/>
                <w:kern w:val="0"/>
                <w:szCs w:val="21"/>
              </w:rPr>
              <w:t>电机等级：YE3系列超高效异步电机，防护等级IP55，绝缘等级F；</w:t>
            </w:r>
          </w:p>
          <w:p>
            <w:pPr>
              <w:numPr>
                <w:ilvl w:val="0"/>
                <w:numId w:val="2"/>
              </w:numPr>
              <w:spacing w:line="276" w:lineRule="auto"/>
              <w:rPr>
                <w:rFonts w:hint="eastAsia" w:ascii="宋体" w:hAnsi="宋体" w:cs="长仿宋体"/>
                <w:kern w:val="0"/>
                <w:szCs w:val="21"/>
              </w:rPr>
            </w:pPr>
            <w:r>
              <w:rPr>
                <w:rFonts w:hint="eastAsia" w:ascii="宋体" w:hAnsi="宋体" w:cs="长仿宋体"/>
                <w:kern w:val="0"/>
                <w:szCs w:val="21"/>
              </w:rPr>
              <w:t>轴承：洛轴、瓦房店、哈尔滨；</w:t>
            </w:r>
          </w:p>
          <w:p>
            <w:pPr>
              <w:numPr>
                <w:ilvl w:val="0"/>
                <w:numId w:val="2"/>
              </w:numPr>
              <w:spacing w:line="276" w:lineRule="auto"/>
              <w:rPr>
                <w:rFonts w:hint="eastAsia" w:ascii="宋体" w:hAnsi="宋体" w:cs="长仿宋体"/>
                <w:kern w:val="0"/>
                <w:szCs w:val="21"/>
              </w:rPr>
            </w:pPr>
            <w:r>
              <w:rPr>
                <w:rFonts w:hint="eastAsia" w:ascii="宋体" w:hAnsi="宋体" w:cs="长仿宋体"/>
                <w:kern w:val="0"/>
                <w:szCs w:val="21"/>
              </w:rPr>
              <w:t>顶部</w:t>
            </w:r>
            <w:r>
              <w:rPr>
                <w:rFonts w:ascii="宋体" w:hAnsi="宋体" w:cs="长仿宋体"/>
                <w:kern w:val="0"/>
                <w:szCs w:val="21"/>
              </w:rPr>
              <w:t>设置引风法兰</w:t>
            </w:r>
            <w:r>
              <w:rPr>
                <w:rFonts w:hint="eastAsia" w:ascii="宋体" w:hAnsi="宋体" w:cs="长仿宋体"/>
                <w:kern w:val="0"/>
                <w:szCs w:val="21"/>
              </w:rPr>
              <w:t>Ø250</w:t>
            </w:r>
            <w:r>
              <w:rPr>
                <w:rFonts w:ascii="宋体" w:hAnsi="宋体" w:cs="长仿宋体"/>
                <w:kern w:val="0"/>
                <w:szCs w:val="21"/>
              </w:rPr>
              <w:t>mm</w:t>
            </w:r>
            <w:r>
              <w:rPr>
                <w:rFonts w:hint="eastAsia" w:ascii="宋体" w:hAnsi="宋体" w:cs="长仿宋体"/>
                <w:kern w:val="0"/>
                <w:szCs w:val="21"/>
              </w:rPr>
              <w:t>，出料口附近设置Ø400快拆式检修观察孔，304不锈钢；</w:t>
            </w:r>
          </w:p>
          <w:p>
            <w:pPr>
              <w:numPr>
                <w:ilvl w:val="0"/>
                <w:numId w:val="2"/>
              </w:numPr>
              <w:spacing w:line="276" w:lineRule="auto"/>
              <w:rPr>
                <w:rFonts w:hint="eastAsia" w:ascii="宋体" w:hAnsi="宋体" w:cs="长仿宋体"/>
                <w:kern w:val="0"/>
                <w:szCs w:val="21"/>
              </w:rPr>
            </w:pPr>
            <w:r>
              <w:rPr>
                <w:rFonts w:hint="eastAsia" w:ascii="宋体" w:hAnsi="宋体" w:cs="长仿宋体"/>
                <w:kern w:val="0"/>
                <w:szCs w:val="21"/>
              </w:rPr>
              <w:t>吊轴承处应良好防护，防止物料砸落造成的损坏，同时应考虑设加注黄油的管道直通输送机壳体外侧，方便加注润滑脂，保证吊轴承充分润滑有轴螺旋吊轴承。</w:t>
            </w:r>
          </w:p>
          <w:p>
            <w:pPr>
              <w:numPr>
                <w:ilvl w:val="0"/>
                <w:numId w:val="2"/>
              </w:numPr>
              <w:spacing w:line="276" w:lineRule="auto"/>
            </w:pPr>
            <w:r>
              <w:rPr>
                <w:rFonts w:hint="eastAsia" w:ascii="宋体" w:hAnsi="宋体" w:cs="长仿宋体"/>
                <w:kern w:val="0"/>
                <w:szCs w:val="21"/>
              </w:rPr>
              <w:t>配套</w:t>
            </w:r>
            <w:r>
              <w:t>出口的软</w:t>
            </w:r>
            <w:r>
              <w:rPr>
                <w:rFonts w:hint="eastAsia"/>
              </w:rPr>
              <w:t>接</w:t>
            </w:r>
            <w:r>
              <w:t>，</w:t>
            </w:r>
            <w:r>
              <w:rPr>
                <w:rFonts w:hint="eastAsia"/>
              </w:rPr>
              <w:t>前后</w:t>
            </w:r>
            <w:r>
              <w:t>法兰厂内加工无缝软件，</w:t>
            </w:r>
            <w:r>
              <w:rPr>
                <w:rFonts w:hint="eastAsia" w:asciiTheme="minorEastAsia" w:hAnsiTheme="minorEastAsia"/>
                <w:szCs w:val="21"/>
              </w:rPr>
              <w:t>高密度聚脂纤维基布,双面聚氯乙烯涂层，厚度</w:t>
            </w:r>
            <w:r>
              <w:rPr>
                <w:rFonts w:hint="eastAsia" w:ascii="宋体" w:hAnsi="宋体"/>
                <w:szCs w:val="21"/>
              </w:rPr>
              <w:t>≥</w:t>
            </w:r>
            <w:r>
              <w:rPr>
                <w:rFonts w:hint="eastAsia" w:asciiTheme="minorEastAsia" w:hAnsiTheme="minorEastAsia"/>
                <w:szCs w:val="21"/>
              </w:rPr>
              <w:t>0.8m，</w:t>
            </w:r>
            <w:r>
              <w:rPr>
                <w:rFonts w:asciiTheme="minorEastAsia" w:hAnsiTheme="minorEastAsia"/>
                <w:szCs w:val="21"/>
              </w:rPr>
              <w:t>灰色</w:t>
            </w:r>
            <w:r>
              <w:rPr>
                <w:rFonts w:hint="eastAsia" w:asciiTheme="minorEastAsia" w:hAnsiTheme="minorEastAsia"/>
                <w:szCs w:val="21"/>
              </w:rPr>
              <w:t>。</w:t>
            </w:r>
          </w:p>
        </w:tc>
        <w:tc>
          <w:tcPr>
            <w:tcW w:w="772" w:type="dxa"/>
            <w:shd w:val="clear" w:color="auto" w:fill="auto"/>
            <w:vAlign w:val="center"/>
          </w:tcPr>
          <w:p>
            <w:pPr>
              <w:spacing w:line="276" w:lineRule="auto"/>
              <w:rPr>
                <w:rFonts w:hint="eastAsia" w:ascii="宋体" w:hAnsi="宋体"/>
                <w:szCs w:val="21"/>
              </w:rPr>
            </w:pPr>
            <w:r>
              <w:rPr>
                <w:rFonts w:ascii="宋体" w:hAnsi="宋体"/>
                <w:szCs w:val="21"/>
              </w:rPr>
              <w:t>5</w:t>
            </w:r>
            <w:r>
              <w:rPr>
                <w:rFonts w:hint="eastAsia" w:ascii="宋体" w:hAnsi="宋体"/>
                <w:szCs w:val="21"/>
              </w:rPr>
              <w:t>台</w:t>
            </w:r>
          </w:p>
        </w:tc>
        <w:tc>
          <w:tcPr>
            <w:tcW w:w="1143" w:type="dxa"/>
            <w:shd w:val="clear" w:color="auto" w:fill="auto"/>
            <w:vAlign w:val="center"/>
          </w:tcPr>
          <w:p>
            <w:pPr>
              <w:spacing w:line="276" w:lineRule="auto"/>
              <w:jc w:val="center"/>
              <w:rPr>
                <w:rFonts w:hint="eastAsia" w:ascii="宋体" w:hAnsi="宋体"/>
                <w:szCs w:val="21"/>
              </w:rPr>
            </w:pPr>
            <w:r>
              <w:rPr>
                <w:rFonts w:hint="eastAsia" w:ascii="宋体" w:hAnsi="宋体"/>
                <w:szCs w:val="21"/>
              </w:rPr>
              <w:t>正反</w:t>
            </w:r>
            <w:r>
              <w:rPr>
                <w:rFonts w:ascii="宋体" w:hAnsi="宋体"/>
                <w:szCs w:val="21"/>
              </w:rPr>
              <w:t>螺旋对</w:t>
            </w:r>
            <w:r>
              <w:rPr>
                <w:rFonts w:hint="eastAsia" w:ascii="宋体" w:hAnsi="宋体"/>
                <w:szCs w:val="21"/>
              </w:rPr>
              <w:t>滚</w:t>
            </w:r>
            <w:r>
              <w:rPr>
                <w:rFonts w:ascii="宋体" w:hAnsi="宋体"/>
                <w:szCs w:val="21"/>
              </w:rPr>
              <w:t>输送</w:t>
            </w:r>
            <w:r>
              <w:rPr>
                <w:rFonts w:hint="eastAsia" w:ascii="宋体" w:hAnsi="宋体"/>
                <w:szCs w:val="21"/>
              </w:rPr>
              <w:t>，</w:t>
            </w:r>
            <w:r>
              <w:rPr>
                <w:rFonts w:hint="eastAsia" w:ascii="宋体" w:hAnsi="宋体"/>
                <w:szCs w:val="21"/>
                <w:highlight w:val="yellow"/>
              </w:rPr>
              <w:t>提供参数供参考，请供应商根据工况进行细化设计并评估合理性，澄清修订内容</w:t>
            </w: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5" w:type="dxa"/>
            <w:shd w:val="clear" w:color="auto" w:fill="auto"/>
            <w:vAlign w:val="center"/>
          </w:tcPr>
          <w:p>
            <w:pPr>
              <w:spacing w:line="276" w:lineRule="auto"/>
              <w:jc w:val="center"/>
              <w:rPr>
                <w:rFonts w:hint="eastAsia" w:ascii="宋体" w:hAnsi="宋体"/>
                <w:szCs w:val="21"/>
              </w:rPr>
            </w:pPr>
            <w:r>
              <w:rPr>
                <w:rFonts w:hint="eastAsia" w:ascii="宋体" w:hAnsi="宋体"/>
                <w:szCs w:val="21"/>
              </w:rPr>
              <w:t>2</w:t>
            </w:r>
          </w:p>
        </w:tc>
        <w:tc>
          <w:tcPr>
            <w:tcW w:w="1378" w:type="dxa"/>
            <w:shd w:val="clear" w:color="auto" w:fill="auto"/>
            <w:vAlign w:val="center"/>
          </w:tcPr>
          <w:p>
            <w:pPr>
              <w:spacing w:line="276" w:lineRule="auto"/>
              <w:jc w:val="center"/>
              <w:rPr>
                <w:rFonts w:hint="eastAsia" w:ascii="宋体" w:hAnsi="宋体"/>
                <w:szCs w:val="21"/>
              </w:rPr>
            </w:pPr>
            <w:r>
              <w:rPr>
                <w:rFonts w:ascii="宋体" w:hAnsi="宋体"/>
                <w:szCs w:val="21"/>
              </w:rPr>
              <w:t>2#</w:t>
            </w:r>
            <w:r>
              <w:rPr>
                <w:rFonts w:hint="eastAsia" w:ascii="宋体" w:hAnsi="宋体"/>
                <w:szCs w:val="21"/>
              </w:rPr>
              <w:t>压滤机排渣</w:t>
            </w:r>
            <w:r>
              <w:rPr>
                <w:rFonts w:ascii="宋体" w:hAnsi="宋体"/>
                <w:szCs w:val="21"/>
              </w:rPr>
              <w:t>螺旋</w:t>
            </w:r>
          </w:p>
        </w:tc>
        <w:tc>
          <w:tcPr>
            <w:tcW w:w="4898" w:type="dxa"/>
            <w:shd w:val="clear" w:color="auto" w:fill="auto"/>
            <w:vAlign w:val="center"/>
          </w:tcPr>
          <w:p>
            <w:pPr>
              <w:numPr>
                <w:ilvl w:val="0"/>
                <w:numId w:val="3"/>
              </w:numPr>
              <w:spacing w:line="276" w:lineRule="auto"/>
              <w:rPr>
                <w:rFonts w:hint="eastAsia" w:ascii="宋体" w:hAnsi="宋体"/>
                <w:szCs w:val="21"/>
              </w:rPr>
            </w:pPr>
            <w:r>
              <w:rPr>
                <w:rFonts w:hint="eastAsia" w:ascii="宋体" w:hAnsi="宋体"/>
                <w:szCs w:val="21"/>
              </w:rPr>
              <w:t>型号：DLS2x4</w:t>
            </w:r>
            <w:r>
              <w:rPr>
                <w:rFonts w:ascii="宋体" w:hAnsi="宋体"/>
                <w:szCs w:val="21"/>
              </w:rPr>
              <w:t>5</w:t>
            </w:r>
            <w:r>
              <w:rPr>
                <w:rFonts w:hint="eastAsia" w:ascii="宋体" w:hAnsi="宋体"/>
                <w:szCs w:val="21"/>
              </w:rPr>
              <w:t>0 x 5.</w:t>
            </w:r>
            <w:r>
              <w:rPr>
                <w:rFonts w:ascii="宋体" w:hAnsi="宋体"/>
                <w:szCs w:val="21"/>
              </w:rPr>
              <w:t>33</w:t>
            </w:r>
            <w:r>
              <w:rPr>
                <w:rFonts w:hint="eastAsia" w:ascii="宋体" w:hAnsi="宋体"/>
                <w:szCs w:val="21"/>
              </w:rPr>
              <w:t>；</w:t>
            </w:r>
          </w:p>
          <w:p>
            <w:pPr>
              <w:numPr>
                <w:ilvl w:val="0"/>
                <w:numId w:val="3"/>
              </w:numPr>
              <w:spacing w:line="276" w:lineRule="auto"/>
              <w:rPr>
                <w:rFonts w:hint="eastAsia" w:ascii="宋体" w:hAnsi="宋体"/>
                <w:szCs w:val="21"/>
              </w:rPr>
            </w:pPr>
            <w:r>
              <w:rPr>
                <w:rFonts w:hint="eastAsia" w:ascii="宋体" w:hAnsi="宋体"/>
                <w:szCs w:val="21"/>
              </w:rPr>
              <w:t>输送量：3</w:t>
            </w:r>
            <w:r>
              <w:rPr>
                <w:rFonts w:ascii="宋体" w:hAnsi="宋体"/>
                <w:szCs w:val="21"/>
              </w:rPr>
              <w:t>0</w:t>
            </w:r>
            <w:r>
              <w:rPr>
                <w:rFonts w:hint="eastAsia" w:ascii="宋体" w:hAnsi="宋体"/>
                <w:szCs w:val="21"/>
              </w:rPr>
              <w:t>m</w:t>
            </w:r>
            <w:r>
              <w:rPr>
                <w:rFonts w:hint="eastAsia" w:ascii="宋体" w:hAnsi="宋体"/>
                <w:szCs w:val="21"/>
                <w:vertAlign w:val="superscript"/>
              </w:rPr>
              <w:t>3</w:t>
            </w:r>
            <w:r>
              <w:rPr>
                <w:rFonts w:hint="eastAsia" w:ascii="宋体" w:hAnsi="宋体"/>
                <w:szCs w:val="21"/>
              </w:rPr>
              <w:t>/h；</w:t>
            </w:r>
          </w:p>
          <w:p>
            <w:pPr>
              <w:numPr>
                <w:ilvl w:val="0"/>
                <w:numId w:val="3"/>
              </w:numPr>
              <w:spacing w:line="276" w:lineRule="auto"/>
              <w:rPr>
                <w:rFonts w:hint="eastAsia" w:ascii="宋体" w:hAnsi="宋体"/>
                <w:szCs w:val="21"/>
              </w:rPr>
            </w:pPr>
            <w:r>
              <w:rPr>
                <w:rFonts w:hint="eastAsia" w:ascii="宋体" w:hAnsi="宋体"/>
                <w:szCs w:val="21"/>
              </w:rPr>
              <w:t>螺旋外径</w:t>
            </w:r>
            <w:r>
              <w:rPr>
                <w:rFonts w:ascii="宋体" w:hAnsi="宋体"/>
                <w:szCs w:val="21"/>
              </w:rPr>
              <w:t>：</w:t>
            </w:r>
            <w:r>
              <w:rPr>
                <w:rFonts w:hint="eastAsia" w:ascii="宋体" w:hAnsi="宋体"/>
                <w:szCs w:val="21"/>
              </w:rPr>
              <w:t>φ4</w:t>
            </w:r>
            <w:r>
              <w:rPr>
                <w:rFonts w:ascii="宋体" w:hAnsi="宋体"/>
                <w:szCs w:val="21"/>
              </w:rPr>
              <w:t>5</w:t>
            </w:r>
            <w:r>
              <w:rPr>
                <w:rFonts w:hint="eastAsia" w:ascii="宋体" w:hAnsi="宋体"/>
                <w:szCs w:val="21"/>
              </w:rPr>
              <w:t>0</w:t>
            </w:r>
            <w:r>
              <w:rPr>
                <w:rFonts w:ascii="宋体" w:hAnsi="宋体"/>
                <w:szCs w:val="21"/>
              </w:rPr>
              <w:t>mm，厚度</w:t>
            </w:r>
            <w:r>
              <w:rPr>
                <w:rFonts w:hint="eastAsia" w:ascii="宋体" w:hAnsi="宋体"/>
                <w:szCs w:val="21"/>
              </w:rPr>
              <w:t>≥10</w:t>
            </w:r>
            <w:r>
              <w:rPr>
                <w:rFonts w:ascii="宋体" w:hAnsi="宋体"/>
                <w:szCs w:val="21"/>
              </w:rPr>
              <w:t>mm</w:t>
            </w:r>
            <w:r>
              <w:rPr>
                <w:rFonts w:hint="eastAsia" w:ascii="宋体" w:hAnsi="宋体"/>
                <w:szCs w:val="21"/>
              </w:rPr>
              <w:t>，螺距400mm</w:t>
            </w:r>
            <w:r>
              <w:rPr>
                <w:rFonts w:ascii="宋体" w:hAnsi="宋体"/>
                <w:szCs w:val="21"/>
              </w:rPr>
              <w:t>；</w:t>
            </w:r>
            <w:r>
              <w:rPr>
                <w:rFonts w:hint="eastAsia" w:ascii="宋体" w:hAnsi="宋体"/>
                <w:szCs w:val="21"/>
              </w:rPr>
              <w:t>有轴螺旋，轴径供应商根据计算结果确定；</w:t>
            </w:r>
          </w:p>
          <w:p>
            <w:pPr>
              <w:numPr>
                <w:ilvl w:val="0"/>
                <w:numId w:val="3"/>
              </w:numPr>
              <w:spacing w:line="276" w:lineRule="auto"/>
              <w:rPr>
                <w:rFonts w:hint="eastAsia" w:ascii="宋体" w:hAnsi="宋体"/>
                <w:szCs w:val="21"/>
              </w:rPr>
            </w:pPr>
            <w:r>
              <w:rPr>
                <w:rFonts w:hint="eastAsia" w:ascii="宋体" w:hAnsi="宋体"/>
                <w:szCs w:val="21"/>
              </w:rPr>
              <w:t>衬板：Q3</w:t>
            </w:r>
            <w:r>
              <w:rPr>
                <w:rFonts w:ascii="宋体" w:hAnsi="宋体"/>
                <w:szCs w:val="21"/>
              </w:rPr>
              <w:t>5</w:t>
            </w:r>
            <w:r>
              <w:rPr>
                <w:rFonts w:hint="eastAsia" w:ascii="宋体" w:hAnsi="宋体"/>
                <w:szCs w:val="21"/>
              </w:rPr>
              <w:t>5B,</w:t>
            </w:r>
            <w:r>
              <w:rPr>
                <w:rFonts w:ascii="宋体" w:hAnsi="宋体"/>
                <w:szCs w:val="21"/>
              </w:rPr>
              <w:t>厚度</w:t>
            </w:r>
            <w:r>
              <w:rPr>
                <w:rFonts w:hint="eastAsia" w:ascii="宋体" w:hAnsi="宋体"/>
                <w:szCs w:val="21"/>
              </w:rPr>
              <w:t>8</w:t>
            </w:r>
            <w:r>
              <w:rPr>
                <w:rFonts w:ascii="宋体" w:hAnsi="宋体"/>
                <w:szCs w:val="21"/>
              </w:rPr>
              <w:t>mm；</w:t>
            </w:r>
          </w:p>
          <w:p>
            <w:pPr>
              <w:numPr>
                <w:ilvl w:val="0"/>
                <w:numId w:val="3"/>
              </w:numPr>
              <w:spacing w:line="276" w:lineRule="auto"/>
              <w:rPr>
                <w:rFonts w:hint="eastAsia" w:ascii="宋体" w:hAnsi="宋体"/>
                <w:szCs w:val="21"/>
              </w:rPr>
            </w:pPr>
            <w:r>
              <w:rPr>
                <w:rFonts w:hint="eastAsia" w:ascii="宋体" w:hAnsi="宋体"/>
                <w:szCs w:val="21"/>
              </w:rPr>
              <w:t>螺旋槽</w:t>
            </w:r>
            <w:r>
              <w:rPr>
                <w:rFonts w:ascii="宋体" w:hAnsi="宋体"/>
                <w:szCs w:val="21"/>
              </w:rPr>
              <w:t>内</w:t>
            </w:r>
            <w:r>
              <w:rPr>
                <w:rFonts w:hint="eastAsia" w:ascii="宋体" w:hAnsi="宋体"/>
                <w:szCs w:val="21"/>
              </w:rPr>
              <w:t>宽</w:t>
            </w:r>
            <w:r>
              <w:rPr>
                <w:rFonts w:ascii="宋体" w:hAnsi="宋体"/>
                <w:szCs w:val="21"/>
              </w:rPr>
              <w:t>：</w:t>
            </w:r>
            <w:r>
              <w:rPr>
                <w:rFonts w:hint="eastAsia" w:ascii="宋体" w:hAnsi="宋体"/>
                <w:szCs w:val="21"/>
              </w:rPr>
              <w:t>890</w:t>
            </w:r>
            <w:r>
              <w:rPr>
                <w:rFonts w:ascii="宋体" w:hAnsi="宋体"/>
                <w:szCs w:val="21"/>
              </w:rPr>
              <w:t>mm，厚度</w:t>
            </w:r>
            <w:r>
              <w:rPr>
                <w:rFonts w:hint="eastAsia" w:ascii="宋体" w:hAnsi="宋体"/>
                <w:szCs w:val="21"/>
              </w:rPr>
              <w:t>≥5</w:t>
            </w:r>
            <w:r>
              <w:rPr>
                <w:rFonts w:ascii="宋体" w:hAnsi="宋体"/>
                <w:szCs w:val="21"/>
              </w:rPr>
              <w:t>mm</w:t>
            </w:r>
            <w:r>
              <w:rPr>
                <w:rFonts w:hint="eastAsia" w:ascii="宋体" w:hAnsi="宋体"/>
                <w:szCs w:val="21"/>
              </w:rPr>
              <w:t>；</w:t>
            </w:r>
            <w:r>
              <w:rPr>
                <w:rFonts w:ascii="宋体" w:hAnsi="宋体"/>
                <w:szCs w:val="21"/>
              </w:rPr>
              <w:t>盖板</w:t>
            </w:r>
            <w:r>
              <w:rPr>
                <w:rFonts w:hint="eastAsia" w:ascii="宋体" w:hAnsi="宋体"/>
                <w:szCs w:val="21"/>
              </w:rPr>
              <w:t>厚度3</w:t>
            </w:r>
            <w:r>
              <w:rPr>
                <w:rFonts w:ascii="宋体" w:hAnsi="宋体"/>
                <w:szCs w:val="21"/>
              </w:rPr>
              <w:t>mm</w:t>
            </w:r>
            <w:r>
              <w:rPr>
                <w:rFonts w:hint="eastAsia" w:ascii="宋体" w:hAnsi="宋体"/>
                <w:szCs w:val="21"/>
              </w:rPr>
              <w:t>；</w:t>
            </w:r>
          </w:p>
          <w:p>
            <w:pPr>
              <w:numPr>
                <w:ilvl w:val="0"/>
                <w:numId w:val="3"/>
              </w:numPr>
              <w:spacing w:line="276" w:lineRule="auto"/>
              <w:rPr>
                <w:rFonts w:hint="eastAsia" w:ascii="宋体" w:hAnsi="宋体"/>
                <w:szCs w:val="21"/>
              </w:rPr>
            </w:pPr>
            <w:r>
              <w:rPr>
                <w:rFonts w:hint="eastAsia" w:ascii="宋体" w:hAnsi="宋体"/>
                <w:szCs w:val="21"/>
              </w:rPr>
              <w:t>输送</w:t>
            </w:r>
            <w:r>
              <w:rPr>
                <w:rFonts w:ascii="宋体" w:hAnsi="宋体"/>
                <w:szCs w:val="21"/>
              </w:rPr>
              <w:t>长度：</w:t>
            </w:r>
            <w:r>
              <w:rPr>
                <w:rFonts w:hint="eastAsia" w:ascii="宋体" w:hAnsi="宋体"/>
                <w:szCs w:val="21"/>
              </w:rPr>
              <w:t>5.9</w:t>
            </w:r>
            <w:r>
              <w:rPr>
                <w:rFonts w:ascii="宋体" w:hAnsi="宋体"/>
                <w:szCs w:val="21"/>
              </w:rPr>
              <w:t>m；</w:t>
            </w:r>
          </w:p>
          <w:p>
            <w:pPr>
              <w:numPr>
                <w:ilvl w:val="0"/>
                <w:numId w:val="3"/>
              </w:numPr>
              <w:spacing w:line="276" w:lineRule="auto"/>
              <w:rPr>
                <w:rFonts w:hint="eastAsia" w:ascii="宋体" w:hAnsi="宋体"/>
                <w:szCs w:val="21"/>
              </w:rPr>
            </w:pPr>
            <w:r>
              <w:rPr>
                <w:rFonts w:hint="eastAsia" w:ascii="宋体" w:hAnsi="宋体"/>
                <w:szCs w:val="21"/>
              </w:rPr>
              <w:t>安装角度</w:t>
            </w:r>
            <w:r>
              <w:rPr>
                <w:rFonts w:ascii="宋体" w:hAnsi="宋体"/>
                <w:szCs w:val="21"/>
              </w:rPr>
              <w:t>：</w:t>
            </w:r>
            <w:r>
              <w:rPr>
                <w:rFonts w:hint="eastAsia" w:ascii="宋体" w:hAnsi="宋体"/>
                <w:szCs w:val="21"/>
              </w:rPr>
              <w:t>10°</w:t>
            </w:r>
            <w:r>
              <w:rPr>
                <w:rFonts w:ascii="宋体" w:hAnsi="宋体"/>
                <w:szCs w:val="21"/>
              </w:rPr>
              <w:t>；</w:t>
            </w:r>
          </w:p>
          <w:p>
            <w:pPr>
              <w:numPr>
                <w:ilvl w:val="0"/>
                <w:numId w:val="3"/>
              </w:numPr>
              <w:spacing w:line="276" w:lineRule="auto"/>
              <w:rPr>
                <w:rFonts w:hint="eastAsia" w:ascii="宋体" w:hAnsi="宋体"/>
                <w:szCs w:val="21"/>
              </w:rPr>
            </w:pPr>
            <w:r>
              <w:rPr>
                <w:rFonts w:hint="eastAsia" w:ascii="宋体" w:hAnsi="宋体"/>
                <w:szCs w:val="21"/>
              </w:rPr>
              <w:t>材质：槽体、</w:t>
            </w:r>
            <w:r>
              <w:rPr>
                <w:rFonts w:ascii="宋体" w:hAnsi="宋体"/>
                <w:szCs w:val="21"/>
              </w:rPr>
              <w:t>进出口</w:t>
            </w:r>
            <w:r>
              <w:rPr>
                <w:rFonts w:hint="eastAsia" w:ascii="宋体" w:hAnsi="宋体"/>
                <w:szCs w:val="21"/>
              </w:rPr>
              <w:t>板、盖板304不锈钢，螺旋体为Q</w:t>
            </w:r>
            <w:r>
              <w:rPr>
                <w:rFonts w:ascii="宋体" w:hAnsi="宋体"/>
                <w:szCs w:val="21"/>
              </w:rPr>
              <w:t>355B</w:t>
            </w:r>
            <w:r>
              <w:rPr>
                <w:rFonts w:hint="eastAsia" w:ascii="宋体" w:hAnsi="宋体"/>
                <w:szCs w:val="21"/>
              </w:rPr>
              <w:t>，衬板Q3</w:t>
            </w:r>
            <w:r>
              <w:rPr>
                <w:rFonts w:ascii="宋体" w:hAnsi="宋体"/>
                <w:szCs w:val="21"/>
              </w:rPr>
              <w:t>5</w:t>
            </w:r>
            <w:r>
              <w:rPr>
                <w:rFonts w:hint="eastAsia" w:ascii="宋体" w:hAnsi="宋体"/>
                <w:szCs w:val="21"/>
              </w:rPr>
              <w:t>5B，</w:t>
            </w:r>
            <w:r>
              <w:rPr>
                <w:rFonts w:ascii="宋体" w:hAnsi="宋体"/>
                <w:szCs w:val="21"/>
              </w:rPr>
              <w:t>支腿</w:t>
            </w:r>
            <w:r>
              <w:rPr>
                <w:rFonts w:hint="eastAsia" w:ascii="宋体" w:hAnsi="宋体"/>
                <w:szCs w:val="21"/>
              </w:rPr>
              <w:t>Q235B；</w:t>
            </w:r>
          </w:p>
          <w:p>
            <w:pPr>
              <w:numPr>
                <w:ilvl w:val="0"/>
                <w:numId w:val="3"/>
              </w:numPr>
              <w:spacing w:line="276" w:lineRule="auto"/>
              <w:rPr>
                <w:rFonts w:hint="eastAsia" w:ascii="宋体" w:hAnsi="宋体"/>
                <w:szCs w:val="21"/>
              </w:rPr>
            </w:pPr>
            <w:r>
              <w:rPr>
                <w:rFonts w:hint="eastAsia" w:ascii="宋体" w:hAnsi="宋体"/>
                <w:szCs w:val="21"/>
              </w:rPr>
              <w:t>电机：380V/50H</w:t>
            </w:r>
            <w:r>
              <w:rPr>
                <w:rFonts w:ascii="宋体" w:hAnsi="宋体"/>
                <w:szCs w:val="21"/>
              </w:rPr>
              <w:t>z</w:t>
            </w:r>
            <w:r>
              <w:rPr>
                <w:rFonts w:hint="eastAsia" w:ascii="宋体" w:hAnsi="宋体"/>
                <w:szCs w:val="21"/>
              </w:rPr>
              <w:t>，</w:t>
            </w:r>
            <w:r>
              <w:rPr>
                <w:rFonts w:ascii="宋体" w:hAnsi="宋体"/>
                <w:szCs w:val="21"/>
              </w:rPr>
              <w:t>变频</w:t>
            </w:r>
            <w:r>
              <w:rPr>
                <w:rFonts w:hint="eastAsia" w:ascii="宋体" w:hAnsi="宋体"/>
                <w:szCs w:val="21"/>
              </w:rPr>
              <w:t>调速，冷却风扇独立电源；</w:t>
            </w:r>
          </w:p>
          <w:p>
            <w:pPr>
              <w:numPr>
                <w:ilvl w:val="0"/>
                <w:numId w:val="3"/>
              </w:numPr>
              <w:spacing w:line="276" w:lineRule="auto"/>
              <w:rPr>
                <w:rFonts w:hint="eastAsia" w:ascii="宋体" w:hAnsi="宋体"/>
                <w:szCs w:val="21"/>
              </w:rPr>
            </w:pPr>
            <w:r>
              <w:rPr>
                <w:rFonts w:hint="eastAsia" w:ascii="宋体" w:hAnsi="宋体"/>
                <w:szCs w:val="21"/>
              </w:rPr>
              <w:t>减速</w:t>
            </w:r>
            <w:r>
              <w:rPr>
                <w:rFonts w:ascii="宋体" w:hAnsi="宋体"/>
                <w:szCs w:val="21"/>
              </w:rPr>
              <w:t>电机：</w:t>
            </w:r>
            <w:r>
              <w:rPr>
                <w:rFonts w:hint="eastAsia" w:ascii="宋体" w:hAnsi="宋体"/>
                <w:szCs w:val="21"/>
              </w:rPr>
              <w:t>国贸、浙江恒齿、浙江通力或同等品牌；</w:t>
            </w:r>
          </w:p>
          <w:p>
            <w:pPr>
              <w:numPr>
                <w:ilvl w:val="0"/>
                <w:numId w:val="3"/>
              </w:numPr>
              <w:spacing w:line="276" w:lineRule="auto"/>
              <w:rPr>
                <w:rFonts w:hint="eastAsia" w:ascii="宋体" w:hAnsi="宋体"/>
                <w:szCs w:val="21"/>
              </w:rPr>
            </w:pPr>
            <w:r>
              <w:rPr>
                <w:rFonts w:hint="eastAsia" w:ascii="宋体" w:hAnsi="宋体"/>
                <w:szCs w:val="21"/>
              </w:rPr>
              <w:t>电机等级：</w:t>
            </w:r>
            <w:r>
              <w:rPr>
                <w:rFonts w:hint="eastAsia" w:ascii="宋体" w:hAnsi="宋体" w:cs="长仿宋体"/>
                <w:kern w:val="0"/>
                <w:szCs w:val="21"/>
              </w:rPr>
              <w:t>YE3系列超高效异步电机，防护等级IP55，绝缘等级F</w:t>
            </w:r>
            <w:r>
              <w:rPr>
                <w:rFonts w:ascii="宋体" w:hAnsi="宋体" w:cs="长仿宋体"/>
                <w:kern w:val="0"/>
                <w:szCs w:val="21"/>
              </w:rPr>
              <w:t>；</w:t>
            </w:r>
          </w:p>
          <w:p>
            <w:pPr>
              <w:numPr>
                <w:ilvl w:val="0"/>
                <w:numId w:val="3"/>
              </w:numPr>
              <w:spacing w:line="276" w:lineRule="auto"/>
              <w:rPr>
                <w:rFonts w:hint="eastAsia" w:ascii="宋体" w:hAnsi="宋体"/>
                <w:szCs w:val="21"/>
              </w:rPr>
            </w:pPr>
            <w:r>
              <w:rPr>
                <w:rFonts w:hint="eastAsia" w:ascii="宋体" w:hAnsi="宋体"/>
                <w:color w:val="000000"/>
                <w:szCs w:val="21"/>
              </w:rPr>
              <w:t>轴承：</w:t>
            </w:r>
            <w:r>
              <w:rPr>
                <w:rFonts w:hint="eastAsia" w:ascii="宋体" w:hAnsi="宋体" w:cs="长仿宋体"/>
                <w:kern w:val="0"/>
                <w:szCs w:val="21"/>
              </w:rPr>
              <w:t>洛轴、瓦房店、哈尔滨；</w:t>
            </w:r>
          </w:p>
          <w:p>
            <w:pPr>
              <w:numPr>
                <w:ilvl w:val="0"/>
                <w:numId w:val="3"/>
              </w:numPr>
              <w:spacing w:line="276" w:lineRule="auto"/>
              <w:rPr>
                <w:rFonts w:hint="eastAsia" w:ascii="宋体" w:hAnsi="宋体"/>
                <w:szCs w:val="21"/>
              </w:rPr>
            </w:pPr>
            <w:r>
              <w:rPr>
                <w:rFonts w:hint="eastAsia" w:ascii="宋体" w:hAnsi="宋体" w:cs="长仿宋体"/>
                <w:kern w:val="0"/>
                <w:szCs w:val="21"/>
              </w:rPr>
              <w:t>顶部</w:t>
            </w:r>
            <w:r>
              <w:rPr>
                <w:rFonts w:ascii="宋体" w:hAnsi="宋体" w:cs="长仿宋体"/>
                <w:kern w:val="0"/>
                <w:szCs w:val="21"/>
              </w:rPr>
              <w:t>设置引风法兰</w:t>
            </w:r>
            <w:r>
              <w:rPr>
                <w:rFonts w:hint="eastAsia" w:ascii="宋体" w:hAnsi="宋体" w:cs="长仿宋体"/>
                <w:kern w:val="0"/>
                <w:szCs w:val="21"/>
              </w:rPr>
              <w:t>Ø250</w:t>
            </w:r>
            <w:r>
              <w:rPr>
                <w:rFonts w:ascii="宋体" w:hAnsi="宋体" w:cs="长仿宋体"/>
                <w:kern w:val="0"/>
                <w:szCs w:val="21"/>
              </w:rPr>
              <w:t>mm</w:t>
            </w:r>
            <w:r>
              <w:rPr>
                <w:rFonts w:hint="eastAsia" w:ascii="宋体" w:hAnsi="宋体" w:cs="长仿宋体"/>
                <w:kern w:val="0"/>
                <w:szCs w:val="21"/>
              </w:rPr>
              <w:t>，进料及出料口附近设置Ø400快拆式检修观察孔，</w:t>
            </w:r>
            <w:r>
              <w:rPr>
                <w:rFonts w:hint="eastAsia" w:ascii="宋体" w:hAnsi="宋体"/>
                <w:szCs w:val="21"/>
              </w:rPr>
              <w:t>304不锈钢</w:t>
            </w:r>
            <w:r>
              <w:rPr>
                <w:rFonts w:hint="eastAsia" w:ascii="宋体" w:hAnsi="宋体" w:cs="长仿宋体"/>
                <w:kern w:val="0"/>
                <w:szCs w:val="21"/>
              </w:rPr>
              <w:t>。</w:t>
            </w:r>
          </w:p>
          <w:p>
            <w:pPr>
              <w:numPr>
                <w:ilvl w:val="0"/>
                <w:numId w:val="3"/>
              </w:numPr>
              <w:spacing w:line="276" w:lineRule="auto"/>
              <w:rPr>
                <w:rFonts w:hint="eastAsia" w:ascii="宋体" w:hAnsi="宋体" w:cs="长仿宋体"/>
                <w:kern w:val="0"/>
                <w:szCs w:val="21"/>
              </w:rPr>
            </w:pPr>
            <w:r>
              <w:rPr>
                <w:rFonts w:hint="eastAsia" w:ascii="宋体" w:hAnsi="宋体" w:cs="长仿宋体"/>
                <w:kern w:val="0"/>
                <w:szCs w:val="21"/>
              </w:rPr>
              <w:t>吊轴承处应良好防护，防止物料砸落造成的损坏，同时应考虑设加注黄油的管道直通输送机壳体外侧，方便加注润滑脂，保证吊轴承充分润滑有轴螺旋吊轴承</w:t>
            </w:r>
            <w:r>
              <w:rPr>
                <w:rFonts w:ascii="宋体" w:hAnsi="宋体" w:cs="长仿宋体"/>
                <w:kern w:val="0"/>
                <w:szCs w:val="21"/>
              </w:rPr>
              <w:t>；</w:t>
            </w:r>
          </w:p>
          <w:p>
            <w:pPr>
              <w:numPr>
                <w:ilvl w:val="0"/>
                <w:numId w:val="3"/>
              </w:numPr>
              <w:spacing w:line="276" w:lineRule="auto"/>
            </w:pPr>
            <w:r>
              <w:rPr>
                <w:rFonts w:hint="eastAsia" w:ascii="宋体" w:hAnsi="宋体" w:cs="长仿宋体"/>
                <w:kern w:val="0"/>
                <w:szCs w:val="21"/>
              </w:rPr>
              <w:t>配套出口的软接，前后法兰厂内加工无缝软件，高密度聚脂纤维基布</w:t>
            </w:r>
            <w:r>
              <w:rPr>
                <w:rFonts w:ascii="宋体" w:hAnsi="宋体" w:cs="长仿宋体"/>
                <w:kern w:val="0"/>
                <w:szCs w:val="21"/>
              </w:rPr>
              <w:t>,双面聚氯乙烯涂层，厚度</w:t>
            </w:r>
            <w:r>
              <w:rPr>
                <w:rFonts w:hint="eastAsia" w:ascii="宋体" w:hAnsi="宋体" w:cs="长仿宋体"/>
                <w:kern w:val="0"/>
                <w:szCs w:val="21"/>
              </w:rPr>
              <w:t>≥</w:t>
            </w:r>
            <w:r>
              <w:rPr>
                <w:rFonts w:ascii="宋体" w:hAnsi="宋体" w:cs="长仿宋体"/>
                <w:kern w:val="0"/>
                <w:szCs w:val="21"/>
              </w:rPr>
              <w:t>0.8m</w:t>
            </w:r>
            <w:r>
              <w:rPr>
                <w:rFonts w:hint="eastAsia" w:ascii="宋体" w:hAnsi="宋体" w:cs="长仿宋体"/>
                <w:kern w:val="0"/>
                <w:szCs w:val="21"/>
              </w:rPr>
              <w:t>，</w:t>
            </w:r>
            <w:r>
              <w:rPr>
                <w:rFonts w:ascii="宋体" w:hAnsi="宋体" w:cs="长仿宋体"/>
                <w:kern w:val="0"/>
                <w:szCs w:val="21"/>
              </w:rPr>
              <w:t>灰色</w:t>
            </w:r>
            <w:r>
              <w:rPr>
                <w:rFonts w:hint="eastAsia" w:ascii="宋体" w:hAnsi="宋体" w:cs="长仿宋体"/>
                <w:kern w:val="0"/>
                <w:szCs w:val="21"/>
              </w:rPr>
              <w:t>。</w:t>
            </w:r>
          </w:p>
        </w:tc>
        <w:tc>
          <w:tcPr>
            <w:tcW w:w="772" w:type="dxa"/>
            <w:shd w:val="clear" w:color="auto" w:fill="auto"/>
            <w:vAlign w:val="center"/>
          </w:tcPr>
          <w:p>
            <w:pPr>
              <w:spacing w:line="276" w:lineRule="auto"/>
              <w:rPr>
                <w:rFonts w:hint="eastAsia" w:ascii="宋体" w:hAnsi="宋体"/>
                <w:szCs w:val="21"/>
              </w:rPr>
            </w:pPr>
            <w:r>
              <w:rPr>
                <w:rFonts w:hint="eastAsia" w:ascii="宋体" w:hAnsi="宋体"/>
                <w:szCs w:val="21"/>
              </w:rPr>
              <w:t>1台</w:t>
            </w:r>
          </w:p>
        </w:tc>
        <w:tc>
          <w:tcPr>
            <w:tcW w:w="1143" w:type="dxa"/>
            <w:shd w:val="clear" w:color="auto" w:fill="auto"/>
            <w:vAlign w:val="center"/>
          </w:tcPr>
          <w:p>
            <w:pPr>
              <w:spacing w:line="276" w:lineRule="auto"/>
              <w:jc w:val="center"/>
              <w:rPr>
                <w:rFonts w:hint="eastAsia" w:ascii="宋体" w:hAnsi="宋体"/>
                <w:szCs w:val="21"/>
              </w:rPr>
            </w:pPr>
            <w:r>
              <w:rPr>
                <w:rFonts w:hint="eastAsia" w:ascii="宋体" w:hAnsi="宋体"/>
                <w:szCs w:val="21"/>
              </w:rPr>
              <w:t>正反</w:t>
            </w:r>
            <w:r>
              <w:rPr>
                <w:rFonts w:ascii="宋体" w:hAnsi="宋体"/>
                <w:szCs w:val="21"/>
              </w:rPr>
              <w:t>螺旋对</w:t>
            </w:r>
            <w:r>
              <w:rPr>
                <w:rFonts w:hint="eastAsia" w:ascii="宋体" w:hAnsi="宋体"/>
                <w:szCs w:val="21"/>
              </w:rPr>
              <w:t>滚</w:t>
            </w:r>
            <w:r>
              <w:rPr>
                <w:rFonts w:ascii="宋体" w:hAnsi="宋体"/>
                <w:szCs w:val="21"/>
              </w:rPr>
              <w:t>输送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5" w:type="dxa"/>
            <w:shd w:val="clear" w:color="auto" w:fill="auto"/>
            <w:vAlign w:val="center"/>
          </w:tcPr>
          <w:p>
            <w:pPr>
              <w:spacing w:line="276" w:lineRule="auto"/>
              <w:jc w:val="center"/>
              <w:rPr>
                <w:rFonts w:hint="eastAsia" w:ascii="宋体" w:hAnsi="宋体"/>
                <w:szCs w:val="21"/>
              </w:rPr>
            </w:pPr>
            <w:r>
              <w:rPr>
                <w:rFonts w:hint="eastAsia" w:ascii="宋体" w:hAnsi="宋体"/>
                <w:szCs w:val="21"/>
              </w:rPr>
              <w:t>4</w:t>
            </w:r>
          </w:p>
        </w:tc>
        <w:tc>
          <w:tcPr>
            <w:tcW w:w="1378" w:type="dxa"/>
            <w:shd w:val="clear" w:color="auto" w:fill="auto"/>
            <w:vAlign w:val="center"/>
          </w:tcPr>
          <w:p>
            <w:pPr>
              <w:spacing w:line="276" w:lineRule="auto"/>
              <w:jc w:val="center"/>
              <w:rPr>
                <w:rFonts w:hint="eastAsia" w:ascii="宋体" w:hAnsi="宋体"/>
                <w:szCs w:val="21"/>
              </w:rPr>
            </w:pPr>
            <w:r>
              <w:rPr>
                <w:rFonts w:hint="eastAsia" w:ascii="宋体" w:hAnsi="宋体"/>
                <w:szCs w:val="21"/>
              </w:rPr>
              <w:t>导料斗</w:t>
            </w:r>
          </w:p>
        </w:tc>
        <w:tc>
          <w:tcPr>
            <w:tcW w:w="4898" w:type="dxa"/>
            <w:shd w:val="clear" w:color="auto" w:fill="auto"/>
            <w:vAlign w:val="center"/>
          </w:tcPr>
          <w:p>
            <w:pPr>
              <w:numPr>
                <w:ilvl w:val="0"/>
                <w:numId w:val="4"/>
              </w:numPr>
              <w:spacing w:line="276" w:lineRule="auto"/>
              <w:rPr>
                <w:rFonts w:hint="eastAsia" w:ascii="宋体" w:hAnsi="宋体"/>
                <w:szCs w:val="21"/>
              </w:rPr>
            </w:pPr>
            <w:r>
              <w:rPr>
                <w:rFonts w:hint="eastAsia" w:ascii="宋体" w:hAnsi="宋体"/>
                <w:szCs w:val="21"/>
              </w:rPr>
              <w:t>上口尺寸：</w:t>
            </w:r>
            <w:r>
              <w:rPr>
                <w:rFonts w:ascii="宋体" w:hAnsi="宋体"/>
                <w:szCs w:val="21"/>
                <w:highlight w:val="yellow"/>
              </w:rPr>
              <w:t>12.290</w:t>
            </w:r>
            <w:r>
              <w:rPr>
                <w:rFonts w:hint="eastAsia" w:ascii="宋体" w:hAnsi="宋体"/>
                <w:szCs w:val="21"/>
                <w:highlight w:val="yellow"/>
              </w:rPr>
              <w:t>*2.5</w:t>
            </w:r>
            <w:r>
              <w:rPr>
                <w:rFonts w:hint="eastAsia" w:ascii="宋体" w:hAnsi="宋体"/>
                <w:szCs w:val="21"/>
              </w:rPr>
              <w:t>m；</w:t>
            </w:r>
          </w:p>
          <w:p>
            <w:pPr>
              <w:numPr>
                <w:ilvl w:val="0"/>
                <w:numId w:val="4"/>
              </w:numPr>
              <w:spacing w:line="276" w:lineRule="auto"/>
              <w:rPr>
                <w:rFonts w:hint="eastAsia" w:ascii="宋体" w:hAnsi="宋体"/>
                <w:szCs w:val="21"/>
              </w:rPr>
            </w:pPr>
            <w:r>
              <w:rPr>
                <w:rFonts w:hint="eastAsia" w:ascii="宋体" w:hAnsi="宋体"/>
                <w:szCs w:val="21"/>
              </w:rPr>
              <w:t>高度：</w:t>
            </w:r>
            <w:r>
              <w:rPr>
                <w:rFonts w:ascii="宋体" w:hAnsi="宋体"/>
                <w:szCs w:val="21"/>
              </w:rPr>
              <w:t>1.95</w:t>
            </w:r>
            <w:r>
              <w:rPr>
                <w:rFonts w:hint="eastAsia" w:ascii="宋体" w:hAnsi="宋体"/>
                <w:szCs w:val="21"/>
              </w:rPr>
              <w:t>m；</w:t>
            </w:r>
          </w:p>
          <w:p>
            <w:pPr>
              <w:numPr>
                <w:ilvl w:val="0"/>
                <w:numId w:val="4"/>
              </w:numPr>
              <w:spacing w:line="276" w:lineRule="auto"/>
              <w:rPr>
                <w:rFonts w:hint="eastAsia" w:ascii="宋体" w:hAnsi="宋体"/>
                <w:szCs w:val="21"/>
              </w:rPr>
            </w:pPr>
            <w:r>
              <w:rPr>
                <w:rFonts w:hint="eastAsia" w:ascii="宋体" w:hAnsi="宋体"/>
                <w:szCs w:val="21"/>
              </w:rPr>
              <w:t>导料斗板厚6mm；</w:t>
            </w:r>
          </w:p>
          <w:p>
            <w:pPr>
              <w:numPr>
                <w:ilvl w:val="0"/>
                <w:numId w:val="4"/>
              </w:numPr>
              <w:spacing w:line="276" w:lineRule="auto"/>
              <w:rPr>
                <w:rFonts w:hint="eastAsia" w:ascii="宋体" w:hAnsi="宋体"/>
                <w:szCs w:val="21"/>
              </w:rPr>
            </w:pPr>
            <w:bookmarkStart w:id="0" w:name="OLE_LINK1"/>
            <w:r>
              <w:rPr>
                <w:rFonts w:hint="eastAsia" w:ascii="宋体" w:hAnsi="宋体"/>
                <w:szCs w:val="21"/>
              </w:rPr>
              <w:t>材质：Q235B</w:t>
            </w:r>
            <w:r>
              <w:rPr>
                <w:rFonts w:ascii="宋体" w:hAnsi="宋体"/>
                <w:szCs w:val="21"/>
              </w:rPr>
              <w:t>+304复合板或碳钢内衬不锈钢,不锈钢</w:t>
            </w:r>
            <w:r>
              <w:rPr>
                <w:rFonts w:ascii="宋体" w:hAnsi="宋体"/>
                <w:szCs w:val="21"/>
                <w:highlight w:val="yellow"/>
              </w:rPr>
              <w:t>内衬厚度</w:t>
            </w:r>
            <w:r>
              <w:rPr>
                <w:rFonts w:hint="eastAsia" w:ascii="宋体" w:hAnsi="宋体"/>
                <w:szCs w:val="21"/>
                <w:highlight w:val="yellow"/>
              </w:rPr>
              <w:t>1.5</w:t>
            </w:r>
            <w:r>
              <w:rPr>
                <w:rFonts w:ascii="宋体" w:hAnsi="宋体"/>
                <w:szCs w:val="21"/>
                <w:highlight w:val="yellow"/>
              </w:rPr>
              <w:t>mm</w:t>
            </w:r>
            <w:r>
              <w:rPr>
                <w:rFonts w:hint="eastAsia" w:ascii="宋体" w:hAnsi="宋体"/>
                <w:szCs w:val="21"/>
                <w:highlight w:val="yellow"/>
              </w:rPr>
              <w:t>；</w:t>
            </w:r>
            <w:r>
              <w:rPr>
                <w:rFonts w:ascii="宋体" w:hAnsi="宋体"/>
                <w:szCs w:val="21"/>
                <w:highlight w:val="yellow"/>
              </w:rPr>
              <w:t>（供参考，请供应商提供合理建议）</w:t>
            </w:r>
          </w:p>
          <w:bookmarkEnd w:id="0"/>
          <w:p>
            <w:pPr>
              <w:numPr>
                <w:ilvl w:val="0"/>
                <w:numId w:val="4"/>
              </w:numPr>
              <w:spacing w:line="276" w:lineRule="auto"/>
              <w:rPr>
                <w:rFonts w:hint="eastAsia" w:ascii="宋体" w:hAnsi="宋体"/>
                <w:szCs w:val="21"/>
              </w:rPr>
            </w:pPr>
            <w:r>
              <w:rPr>
                <w:rFonts w:hint="eastAsia" w:ascii="宋体" w:hAnsi="宋体"/>
                <w:szCs w:val="21"/>
              </w:rPr>
              <w:t>带破碎装置，破刀间距500mm，支撑应合理分布，不得导致滤饼</w:t>
            </w:r>
            <w:r>
              <w:rPr>
                <w:rFonts w:ascii="宋体" w:hAnsi="宋体"/>
                <w:szCs w:val="21"/>
              </w:rPr>
              <w:t>架桥；</w:t>
            </w:r>
          </w:p>
          <w:p>
            <w:pPr>
              <w:numPr>
                <w:ilvl w:val="0"/>
                <w:numId w:val="4"/>
              </w:numPr>
              <w:spacing w:line="276" w:lineRule="auto"/>
              <w:rPr>
                <w:rFonts w:hint="eastAsia" w:ascii="宋体" w:hAnsi="宋体"/>
                <w:szCs w:val="21"/>
              </w:rPr>
            </w:pPr>
            <w:r>
              <w:rPr>
                <w:rFonts w:hint="eastAsia" w:ascii="宋体" w:hAnsi="宋体"/>
                <w:szCs w:val="21"/>
              </w:rPr>
              <w:t>两端配置检修人孔500*500mm</w:t>
            </w:r>
            <w:r>
              <w:rPr>
                <w:rFonts w:ascii="宋体" w:hAnsi="宋体"/>
                <w:szCs w:val="21"/>
              </w:rPr>
              <w:t>；</w:t>
            </w:r>
          </w:p>
          <w:p>
            <w:pPr>
              <w:pStyle w:val="2"/>
              <w:numPr>
                <w:ilvl w:val="0"/>
                <w:numId w:val="4"/>
              </w:numPr>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导料斗一侧设置若干除臭口，304不锈钢材质</w:t>
            </w:r>
            <w:r>
              <w:rPr>
                <w:rFonts w:hint="eastAsia" w:asciiTheme="minorEastAsia" w:hAnsiTheme="minorEastAsia" w:eastAsiaTheme="minorEastAsia" w:cstheme="minorEastAsia"/>
                <w:kern w:val="0"/>
                <w:sz w:val="20"/>
                <w:szCs w:val="20"/>
              </w:rPr>
              <w:t>。</w:t>
            </w:r>
            <w:r>
              <w:rPr>
                <w:rFonts w:hint="eastAsia" w:asciiTheme="minorEastAsia" w:hAnsiTheme="minorEastAsia" w:eastAsiaTheme="minorEastAsia" w:cstheme="minorEastAsia"/>
                <w:sz w:val="20"/>
                <w:szCs w:val="20"/>
              </w:rPr>
              <w:t>使用过程中不得堵塞。（详见提资图，由供应商设计细化）</w:t>
            </w:r>
          </w:p>
          <w:p>
            <w:pPr>
              <w:pStyle w:val="2"/>
              <w:numPr>
                <w:ilvl w:val="255"/>
                <w:numId w:val="0"/>
              </w:numPr>
            </w:pPr>
          </w:p>
        </w:tc>
        <w:tc>
          <w:tcPr>
            <w:tcW w:w="772" w:type="dxa"/>
            <w:shd w:val="clear" w:color="auto" w:fill="auto"/>
          </w:tcPr>
          <w:p>
            <w:pPr>
              <w:spacing w:line="276" w:lineRule="auto"/>
              <w:rPr>
                <w:rFonts w:hint="eastAsia" w:ascii="宋体" w:hAnsi="宋体"/>
                <w:szCs w:val="21"/>
              </w:rPr>
            </w:pPr>
            <w:r>
              <w:rPr>
                <w:rFonts w:ascii="宋体" w:hAnsi="宋体"/>
                <w:szCs w:val="21"/>
              </w:rPr>
              <w:t>6</w:t>
            </w:r>
            <w:r>
              <w:rPr>
                <w:rFonts w:hint="eastAsia" w:ascii="宋体" w:hAnsi="宋体"/>
                <w:szCs w:val="21"/>
              </w:rPr>
              <w:t>套</w:t>
            </w:r>
          </w:p>
        </w:tc>
        <w:tc>
          <w:tcPr>
            <w:tcW w:w="1143" w:type="dxa"/>
            <w:shd w:val="clear" w:color="auto" w:fill="auto"/>
            <w:vAlign w:val="center"/>
          </w:tcPr>
          <w:p>
            <w:pPr>
              <w:spacing w:line="276" w:lineRule="auto"/>
              <w:jc w:val="center"/>
              <w:rPr>
                <w:rFonts w:hint="eastAsia" w:ascii="宋体" w:hAnsi="宋体"/>
                <w:szCs w:val="21"/>
              </w:rPr>
            </w:pPr>
            <w:r>
              <w:rPr>
                <w:rFonts w:ascii="宋体" w:hAnsi="宋体"/>
                <w:szCs w:val="21"/>
              </w:rPr>
              <w:t>与</w:t>
            </w:r>
            <w:r>
              <w:rPr>
                <w:rFonts w:hint="eastAsia" w:ascii="宋体" w:hAnsi="宋体"/>
                <w:szCs w:val="21"/>
              </w:rPr>
              <w:t>压</w:t>
            </w:r>
            <w:r>
              <w:rPr>
                <w:rFonts w:ascii="宋体" w:hAnsi="宋体"/>
                <w:szCs w:val="21"/>
              </w:rPr>
              <w:t>滤机匹配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5" w:type="dxa"/>
            <w:shd w:val="clear" w:color="auto" w:fill="auto"/>
            <w:vAlign w:val="center"/>
          </w:tcPr>
          <w:p>
            <w:pPr>
              <w:spacing w:line="276" w:lineRule="auto"/>
              <w:jc w:val="center"/>
              <w:rPr>
                <w:rFonts w:hint="eastAsia" w:ascii="宋体" w:hAnsi="宋体"/>
                <w:szCs w:val="21"/>
              </w:rPr>
            </w:pPr>
            <w:r>
              <w:rPr>
                <w:rFonts w:hint="eastAsia" w:ascii="宋体" w:hAnsi="宋体"/>
                <w:szCs w:val="21"/>
              </w:rPr>
              <w:t>5</w:t>
            </w:r>
          </w:p>
        </w:tc>
        <w:tc>
          <w:tcPr>
            <w:tcW w:w="1378" w:type="dxa"/>
            <w:shd w:val="clear" w:color="auto" w:fill="auto"/>
            <w:vAlign w:val="center"/>
          </w:tcPr>
          <w:p>
            <w:pPr>
              <w:spacing w:line="276" w:lineRule="auto"/>
              <w:jc w:val="center"/>
              <w:rPr>
                <w:rFonts w:hint="eastAsia" w:ascii="宋体" w:hAnsi="宋体"/>
                <w:szCs w:val="21"/>
              </w:rPr>
            </w:pPr>
            <w:r>
              <w:rPr>
                <w:rFonts w:hint="eastAsia" w:ascii="宋体" w:hAnsi="宋体"/>
                <w:szCs w:val="21"/>
              </w:rPr>
              <w:t>滑架推平</w:t>
            </w:r>
            <w:r>
              <w:rPr>
                <w:rFonts w:ascii="宋体" w:hAnsi="宋体"/>
                <w:szCs w:val="21"/>
              </w:rPr>
              <w:t>系统</w:t>
            </w:r>
          </w:p>
        </w:tc>
        <w:tc>
          <w:tcPr>
            <w:tcW w:w="4898" w:type="dxa"/>
            <w:shd w:val="clear" w:color="auto" w:fill="auto"/>
            <w:vAlign w:val="center"/>
          </w:tcPr>
          <w:p>
            <w:pPr>
              <w:numPr>
                <w:ilvl w:val="0"/>
                <w:numId w:val="5"/>
              </w:numPr>
              <w:spacing w:line="276" w:lineRule="auto"/>
              <w:rPr>
                <w:rFonts w:hint="eastAsia" w:ascii="宋体" w:hAnsi="宋体"/>
                <w:szCs w:val="21"/>
              </w:rPr>
            </w:pPr>
            <w:r>
              <w:rPr>
                <w:rFonts w:hint="eastAsia" w:ascii="宋体" w:hAnsi="宋体"/>
                <w:szCs w:val="21"/>
              </w:rPr>
              <w:t>型号：-；</w:t>
            </w:r>
          </w:p>
          <w:p>
            <w:pPr>
              <w:spacing w:line="276" w:lineRule="auto"/>
              <w:rPr>
                <w:rFonts w:hint="eastAsia" w:ascii="宋体" w:hAnsi="宋体"/>
                <w:szCs w:val="21"/>
              </w:rPr>
            </w:pPr>
            <w:r>
              <w:rPr>
                <w:rFonts w:hint="eastAsia" w:ascii="宋体" w:hAnsi="宋体" w:cs="宋体"/>
                <w:color w:val="000000"/>
                <w:szCs w:val="21"/>
              </w:rPr>
              <w:t>2．行程</w:t>
            </w:r>
            <w:r>
              <w:rPr>
                <w:rFonts w:ascii="宋体" w:hAnsi="宋体" w:cs="宋体"/>
                <w:color w:val="000000"/>
                <w:szCs w:val="21"/>
              </w:rPr>
              <w:t>：</w:t>
            </w:r>
            <w:r>
              <w:rPr>
                <w:rFonts w:hint="eastAsia" w:ascii="宋体" w:hAnsi="宋体"/>
                <w:szCs w:val="21"/>
                <w:u w:val="single"/>
              </w:rPr>
              <w:t>供应商设计细化</w:t>
            </w:r>
            <w:r>
              <w:rPr>
                <w:rFonts w:ascii="宋体" w:hAnsi="宋体" w:cs="宋体"/>
                <w:color w:val="000000"/>
                <w:szCs w:val="21"/>
              </w:rPr>
              <w:t>；</w:t>
            </w:r>
          </w:p>
          <w:p>
            <w:pPr>
              <w:spacing w:line="276" w:lineRule="auto"/>
              <w:rPr>
                <w:rFonts w:hint="eastAsia" w:ascii="宋体" w:hAnsi="宋体" w:cs="宋体"/>
                <w:color w:val="000000"/>
                <w:szCs w:val="21"/>
              </w:rPr>
            </w:pPr>
            <w:r>
              <w:rPr>
                <w:rFonts w:hint="eastAsia" w:ascii="宋体" w:hAnsi="宋体" w:cs="宋体"/>
                <w:color w:val="000000"/>
                <w:szCs w:val="21"/>
              </w:rPr>
              <w:t>3. 滑架</w:t>
            </w:r>
            <w:r>
              <w:rPr>
                <w:rFonts w:ascii="宋体" w:hAnsi="宋体" w:cs="宋体"/>
                <w:color w:val="000000"/>
                <w:szCs w:val="21"/>
              </w:rPr>
              <w:t>材质：</w:t>
            </w:r>
            <w:r>
              <w:rPr>
                <w:rFonts w:hint="eastAsia" w:ascii="宋体" w:hAnsi="宋体" w:cs="宋体"/>
                <w:color w:val="000000"/>
                <w:szCs w:val="21"/>
              </w:rPr>
              <w:t>Q3</w:t>
            </w:r>
            <w:r>
              <w:rPr>
                <w:rFonts w:ascii="宋体" w:hAnsi="宋体" w:cs="宋体"/>
                <w:color w:val="000000"/>
                <w:szCs w:val="21"/>
              </w:rPr>
              <w:t>5</w:t>
            </w:r>
            <w:r>
              <w:rPr>
                <w:rFonts w:hint="eastAsia" w:ascii="宋体" w:hAnsi="宋体" w:cs="宋体"/>
                <w:color w:val="000000"/>
                <w:szCs w:val="21"/>
              </w:rPr>
              <w:t>5B；</w:t>
            </w:r>
          </w:p>
          <w:p>
            <w:pPr>
              <w:spacing w:line="276" w:lineRule="auto"/>
              <w:rPr>
                <w:rFonts w:hint="eastAsia" w:ascii="宋体" w:hAnsi="宋体"/>
                <w:szCs w:val="21"/>
              </w:rPr>
            </w:pPr>
            <w:r>
              <w:rPr>
                <w:rFonts w:hint="eastAsia" w:ascii="宋体" w:hAnsi="宋体" w:cs="宋体"/>
                <w:color w:val="000000"/>
                <w:szCs w:val="21"/>
              </w:rPr>
              <w:t>4. 与沼渣料仓配套。</w:t>
            </w:r>
          </w:p>
        </w:tc>
        <w:tc>
          <w:tcPr>
            <w:tcW w:w="772" w:type="dxa"/>
            <w:shd w:val="clear" w:color="auto" w:fill="auto"/>
          </w:tcPr>
          <w:p>
            <w:pPr>
              <w:spacing w:line="276" w:lineRule="auto"/>
              <w:rPr>
                <w:rFonts w:hint="eastAsia" w:ascii="宋体" w:hAnsi="宋体"/>
                <w:szCs w:val="21"/>
              </w:rPr>
            </w:pPr>
            <w:r>
              <w:rPr>
                <w:rFonts w:ascii="宋体" w:hAnsi="宋体"/>
                <w:szCs w:val="21"/>
              </w:rPr>
              <w:t>5</w:t>
            </w:r>
            <w:r>
              <w:rPr>
                <w:rFonts w:hint="eastAsia" w:ascii="宋体" w:hAnsi="宋体"/>
                <w:szCs w:val="21"/>
              </w:rPr>
              <w:t>套</w:t>
            </w:r>
          </w:p>
        </w:tc>
        <w:tc>
          <w:tcPr>
            <w:tcW w:w="1143" w:type="dxa"/>
            <w:shd w:val="clear" w:color="auto" w:fill="auto"/>
            <w:vAlign w:val="center"/>
          </w:tcPr>
          <w:p>
            <w:pPr>
              <w:spacing w:line="276"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5" w:type="dxa"/>
            <w:shd w:val="clear" w:color="auto" w:fill="auto"/>
            <w:vAlign w:val="center"/>
          </w:tcPr>
          <w:p>
            <w:pPr>
              <w:spacing w:line="276" w:lineRule="auto"/>
              <w:jc w:val="center"/>
              <w:rPr>
                <w:rFonts w:hint="eastAsia" w:ascii="宋体" w:hAnsi="宋体"/>
                <w:szCs w:val="21"/>
              </w:rPr>
            </w:pPr>
            <w:r>
              <w:rPr>
                <w:rFonts w:hint="eastAsia" w:ascii="宋体" w:hAnsi="宋体"/>
                <w:szCs w:val="21"/>
              </w:rPr>
              <w:t>6</w:t>
            </w:r>
          </w:p>
        </w:tc>
        <w:tc>
          <w:tcPr>
            <w:tcW w:w="1378" w:type="dxa"/>
            <w:shd w:val="clear" w:color="auto" w:fill="auto"/>
            <w:vAlign w:val="center"/>
          </w:tcPr>
          <w:p>
            <w:pPr>
              <w:spacing w:line="276" w:lineRule="auto"/>
              <w:jc w:val="center"/>
              <w:rPr>
                <w:rFonts w:hint="eastAsia" w:ascii="宋体" w:hAnsi="宋体"/>
                <w:szCs w:val="21"/>
              </w:rPr>
            </w:pPr>
            <w:r>
              <w:rPr>
                <w:rFonts w:hint="eastAsia" w:ascii="宋体" w:hAnsi="宋体"/>
                <w:szCs w:val="21"/>
              </w:rPr>
              <w:t>沼渣料仓</w:t>
            </w:r>
          </w:p>
        </w:tc>
        <w:tc>
          <w:tcPr>
            <w:tcW w:w="4898" w:type="dxa"/>
            <w:shd w:val="clear" w:color="auto" w:fill="auto"/>
            <w:vAlign w:val="center"/>
          </w:tcPr>
          <w:p>
            <w:pPr>
              <w:numPr>
                <w:ilvl w:val="0"/>
                <w:numId w:val="6"/>
              </w:numPr>
              <w:spacing w:line="276" w:lineRule="auto"/>
              <w:rPr>
                <w:rFonts w:hint="eastAsia" w:ascii="宋体" w:hAnsi="宋体"/>
                <w:szCs w:val="21"/>
              </w:rPr>
            </w:pPr>
            <w:r>
              <w:rPr>
                <w:rFonts w:hint="eastAsia" w:ascii="宋体" w:hAnsi="宋体"/>
                <w:szCs w:val="21"/>
              </w:rPr>
              <w:t>型号：-</w:t>
            </w:r>
            <w:r>
              <w:rPr>
                <w:rFonts w:ascii="宋体" w:hAnsi="宋体"/>
                <w:szCs w:val="21"/>
              </w:rPr>
              <w:t xml:space="preserve"> </w:t>
            </w:r>
            <w:r>
              <w:rPr>
                <w:rFonts w:hint="eastAsia" w:ascii="宋体" w:hAnsi="宋体"/>
                <w:szCs w:val="21"/>
              </w:rPr>
              <w:t>；</w:t>
            </w:r>
          </w:p>
          <w:p>
            <w:pPr>
              <w:numPr>
                <w:ilvl w:val="0"/>
                <w:numId w:val="6"/>
              </w:numPr>
              <w:spacing w:line="276" w:lineRule="auto"/>
              <w:rPr>
                <w:rFonts w:hint="eastAsia" w:ascii="宋体" w:hAnsi="宋体"/>
                <w:szCs w:val="21"/>
              </w:rPr>
            </w:pPr>
            <w:r>
              <w:rPr>
                <w:rFonts w:hint="eastAsia" w:ascii="宋体" w:hAnsi="宋体" w:cs="宋体"/>
                <w:color w:val="000000"/>
                <w:szCs w:val="21"/>
              </w:rPr>
              <w:t>有效</w:t>
            </w:r>
            <w:r>
              <w:rPr>
                <w:rFonts w:ascii="宋体" w:hAnsi="宋体" w:cs="宋体"/>
                <w:color w:val="000000"/>
                <w:szCs w:val="21"/>
              </w:rPr>
              <w:t>装储</w:t>
            </w:r>
            <w:r>
              <w:rPr>
                <w:rFonts w:hint="eastAsia" w:ascii="宋体" w:hAnsi="宋体" w:cs="宋体"/>
                <w:color w:val="000000"/>
                <w:szCs w:val="21"/>
              </w:rPr>
              <w:t>容积</w:t>
            </w:r>
            <w:r>
              <w:rPr>
                <w:rFonts w:ascii="宋体" w:hAnsi="宋体" w:cs="宋体"/>
                <w:color w:val="000000"/>
                <w:szCs w:val="21"/>
              </w:rPr>
              <w:t>：</w:t>
            </w:r>
            <w:r>
              <w:rPr>
                <w:rFonts w:hint="eastAsia" w:ascii="宋体" w:hAnsi="宋体" w:cs="宋体"/>
                <w:color w:val="000000"/>
                <w:szCs w:val="21"/>
              </w:rPr>
              <w:t>≥</w:t>
            </w:r>
            <w:r>
              <w:rPr>
                <w:rFonts w:ascii="宋体" w:hAnsi="宋体" w:cs="宋体"/>
                <w:color w:val="000000"/>
                <w:szCs w:val="21"/>
              </w:rPr>
              <w:t>33m</w:t>
            </w:r>
            <w:r>
              <w:rPr>
                <w:rFonts w:ascii="宋体" w:hAnsi="宋体" w:cs="宋体"/>
                <w:color w:val="000000"/>
                <w:szCs w:val="21"/>
                <w:vertAlign w:val="superscript"/>
              </w:rPr>
              <w:t>3</w:t>
            </w:r>
            <w:r>
              <w:rPr>
                <w:rFonts w:hint="eastAsia" w:ascii="宋体" w:hAnsi="宋体" w:cs="宋体"/>
                <w:color w:val="000000"/>
                <w:szCs w:val="21"/>
              </w:rPr>
              <w:t>；</w:t>
            </w:r>
          </w:p>
          <w:p>
            <w:pPr>
              <w:numPr>
                <w:ilvl w:val="0"/>
                <w:numId w:val="6"/>
              </w:numPr>
              <w:spacing w:line="276" w:lineRule="auto"/>
              <w:rPr>
                <w:rFonts w:hint="eastAsia" w:ascii="宋体" w:hAnsi="宋体"/>
                <w:szCs w:val="21"/>
              </w:rPr>
            </w:pPr>
            <w:r>
              <w:rPr>
                <w:rFonts w:hint="eastAsia" w:ascii="宋体" w:hAnsi="宋体" w:cs="宋体"/>
                <w:color w:val="000000"/>
                <w:szCs w:val="21"/>
              </w:rPr>
              <w:t>料仓尺寸</w:t>
            </w:r>
            <w:r>
              <w:rPr>
                <w:rFonts w:ascii="宋体" w:hAnsi="宋体" w:cs="宋体"/>
                <w:color w:val="000000"/>
                <w:szCs w:val="21"/>
              </w:rPr>
              <w:t>：</w:t>
            </w:r>
            <w:r>
              <w:rPr>
                <w:rFonts w:hint="eastAsia" w:ascii="宋体" w:hAnsi="宋体" w:cs="宋体"/>
                <w:color w:val="000000"/>
                <w:szCs w:val="21"/>
              </w:rPr>
              <w:t>3.8</w:t>
            </w:r>
            <w:r>
              <w:rPr>
                <w:rFonts w:ascii="宋体" w:hAnsi="宋体" w:cs="宋体"/>
                <w:color w:val="000000"/>
                <w:szCs w:val="21"/>
              </w:rPr>
              <w:t>×</w:t>
            </w:r>
            <w:r>
              <w:rPr>
                <w:rFonts w:hint="eastAsia" w:ascii="宋体" w:hAnsi="宋体" w:cs="宋体"/>
                <w:color w:val="000000"/>
                <w:szCs w:val="21"/>
              </w:rPr>
              <w:t>4.</w:t>
            </w:r>
            <w:r>
              <w:rPr>
                <w:rFonts w:ascii="宋体" w:hAnsi="宋体" w:cs="宋体"/>
                <w:color w:val="000000"/>
                <w:szCs w:val="21"/>
              </w:rPr>
              <w:t>5</w:t>
            </w:r>
            <w:r>
              <w:rPr>
                <w:rFonts w:hint="eastAsia" w:ascii="宋体" w:hAnsi="宋体" w:cs="宋体"/>
                <w:color w:val="000000"/>
                <w:szCs w:val="21"/>
              </w:rPr>
              <w:t>5</w:t>
            </w:r>
            <w:r>
              <w:rPr>
                <w:rFonts w:ascii="宋体" w:hAnsi="宋体" w:cs="宋体"/>
                <w:color w:val="000000"/>
                <w:szCs w:val="21"/>
              </w:rPr>
              <w:t>×3.7</w:t>
            </w:r>
            <w:r>
              <w:rPr>
                <w:rFonts w:hint="eastAsia" w:ascii="宋体" w:hAnsi="宋体" w:cs="宋体"/>
                <w:color w:val="000000"/>
                <w:szCs w:val="21"/>
              </w:rPr>
              <w:t>(高度)</w:t>
            </w:r>
            <w:r>
              <w:rPr>
                <w:rFonts w:ascii="宋体" w:hAnsi="宋体" w:cs="宋体"/>
                <w:color w:val="000000"/>
                <w:szCs w:val="21"/>
              </w:rPr>
              <w:t>m；</w:t>
            </w:r>
          </w:p>
          <w:p>
            <w:pPr>
              <w:numPr>
                <w:ilvl w:val="0"/>
                <w:numId w:val="6"/>
              </w:numPr>
              <w:spacing w:line="276" w:lineRule="auto"/>
              <w:rPr>
                <w:rFonts w:hint="eastAsia" w:ascii="宋体" w:hAnsi="宋体"/>
                <w:szCs w:val="21"/>
              </w:rPr>
            </w:pPr>
            <w:r>
              <w:rPr>
                <w:rFonts w:hint="eastAsia" w:ascii="宋体" w:hAnsi="宋体"/>
                <w:szCs w:val="21"/>
              </w:rPr>
              <w:t>墙板</w:t>
            </w:r>
            <w:r>
              <w:rPr>
                <w:rFonts w:ascii="宋体" w:hAnsi="宋体"/>
                <w:szCs w:val="21"/>
              </w:rPr>
              <w:t>厚度8mm，顶板厚度</w:t>
            </w:r>
            <w:r>
              <w:rPr>
                <w:rFonts w:hint="eastAsia" w:ascii="宋体" w:hAnsi="宋体"/>
                <w:szCs w:val="21"/>
              </w:rPr>
              <w:t>6</w:t>
            </w:r>
            <w:r>
              <w:rPr>
                <w:rFonts w:ascii="宋体" w:hAnsi="宋体"/>
                <w:szCs w:val="21"/>
              </w:rPr>
              <w:t>mm</w:t>
            </w:r>
            <w:r>
              <w:rPr>
                <w:rFonts w:hint="eastAsia" w:ascii="宋体" w:hAnsi="宋体"/>
                <w:szCs w:val="21"/>
              </w:rPr>
              <w:t>；</w:t>
            </w:r>
          </w:p>
          <w:p>
            <w:pPr>
              <w:numPr>
                <w:ilvl w:val="0"/>
                <w:numId w:val="6"/>
              </w:numPr>
              <w:spacing w:line="276" w:lineRule="auto"/>
              <w:rPr>
                <w:rFonts w:ascii="宋体" w:hAnsi="宋体"/>
                <w:szCs w:val="21"/>
              </w:rPr>
            </w:pPr>
            <w:r>
              <w:rPr>
                <w:rFonts w:ascii="宋体" w:hAnsi="宋体" w:cs="宋体"/>
                <w:color w:val="000000"/>
                <w:szCs w:val="21"/>
              </w:rPr>
              <w:t>材质：</w:t>
            </w:r>
            <w:r>
              <w:rPr>
                <w:rFonts w:hint="eastAsia" w:ascii="宋体" w:hAnsi="宋体" w:cs="宋体"/>
                <w:color w:val="000000"/>
                <w:szCs w:val="21"/>
              </w:rPr>
              <w:t>Q</w:t>
            </w:r>
            <w:r>
              <w:rPr>
                <w:rFonts w:ascii="宋体" w:hAnsi="宋体" w:cs="宋体"/>
                <w:color w:val="000000"/>
                <w:szCs w:val="21"/>
              </w:rPr>
              <w:t>235</w:t>
            </w:r>
            <w:r>
              <w:rPr>
                <w:rFonts w:hint="eastAsia" w:ascii="宋体" w:hAnsi="宋体" w:cs="宋体"/>
                <w:color w:val="000000"/>
                <w:szCs w:val="21"/>
              </w:rPr>
              <w:t>B</w:t>
            </w:r>
            <w:r>
              <w:rPr>
                <w:rFonts w:ascii="宋体" w:hAnsi="宋体" w:cs="宋体"/>
                <w:color w:val="000000"/>
                <w:szCs w:val="21"/>
              </w:rPr>
              <w:t>+304</w:t>
            </w:r>
            <w:r>
              <w:rPr>
                <w:rFonts w:ascii="宋体" w:hAnsi="宋体"/>
                <w:szCs w:val="21"/>
              </w:rPr>
              <w:t>复合板或碳钢内衬不锈钢，不锈钢内衬厚度</w:t>
            </w:r>
            <w:r>
              <w:rPr>
                <w:rFonts w:ascii="宋体" w:hAnsi="宋体" w:cs="宋体"/>
                <w:color w:val="000000"/>
                <w:szCs w:val="21"/>
              </w:rPr>
              <w:t>1.5</w:t>
            </w:r>
            <w:r>
              <w:rPr>
                <w:rFonts w:ascii="宋体" w:hAnsi="宋体"/>
                <w:szCs w:val="21"/>
              </w:rPr>
              <w:t>mm</w:t>
            </w:r>
            <w:r>
              <w:rPr>
                <w:rFonts w:hint="eastAsia" w:ascii="宋体" w:hAnsi="宋体" w:cs="宋体"/>
                <w:color w:val="000000"/>
                <w:szCs w:val="21"/>
              </w:rPr>
              <w:t>；</w:t>
            </w:r>
            <w:r>
              <w:rPr>
                <w:rFonts w:hint="eastAsia" w:asciiTheme="minorEastAsia" w:hAnsiTheme="minorEastAsia" w:eastAsiaTheme="minorEastAsia" w:cstheme="minorEastAsia"/>
                <w:sz w:val="20"/>
                <w:szCs w:val="20"/>
                <w:highlight w:val="yellow"/>
              </w:rPr>
              <w:t>（包括腭式阀接触物料部分，供参考，请供应商提供合理建议）</w:t>
            </w:r>
          </w:p>
          <w:p>
            <w:pPr>
              <w:numPr>
                <w:ilvl w:val="0"/>
                <w:numId w:val="6"/>
              </w:numPr>
              <w:spacing w:line="276" w:lineRule="auto"/>
              <w:rPr>
                <w:rFonts w:hint="eastAsia" w:ascii="宋体" w:hAnsi="宋体"/>
                <w:szCs w:val="21"/>
              </w:rPr>
            </w:pPr>
            <w:r>
              <w:rPr>
                <w:rFonts w:hint="eastAsia" w:ascii="宋体" w:hAnsi="宋体"/>
                <w:szCs w:val="21"/>
              </w:rPr>
              <w:t>卸料</w:t>
            </w:r>
            <w:r>
              <w:rPr>
                <w:rFonts w:ascii="宋体" w:hAnsi="宋体"/>
                <w:szCs w:val="21"/>
              </w:rPr>
              <w:t>方式：</w:t>
            </w:r>
            <w:r>
              <w:rPr>
                <w:rFonts w:hint="eastAsia" w:ascii="宋体" w:hAnsi="宋体"/>
                <w:szCs w:val="21"/>
              </w:rPr>
              <w:t>液压腭式阀,配单侧</w:t>
            </w:r>
            <w:r>
              <w:rPr>
                <w:rFonts w:ascii="宋体" w:hAnsi="宋体"/>
                <w:szCs w:val="21"/>
              </w:rPr>
              <w:t>双油缸；</w:t>
            </w:r>
          </w:p>
          <w:p>
            <w:pPr>
              <w:numPr>
                <w:ilvl w:val="0"/>
                <w:numId w:val="6"/>
              </w:numPr>
              <w:spacing w:line="276" w:lineRule="auto"/>
              <w:rPr>
                <w:rFonts w:hint="eastAsia" w:ascii="宋体" w:hAnsi="宋体"/>
                <w:szCs w:val="21"/>
              </w:rPr>
            </w:pPr>
            <w:r>
              <w:rPr>
                <w:rFonts w:hint="eastAsia" w:ascii="宋体" w:hAnsi="宋体"/>
                <w:szCs w:val="21"/>
              </w:rPr>
              <w:t>卸料</w:t>
            </w:r>
            <w:r>
              <w:rPr>
                <w:rFonts w:ascii="宋体" w:hAnsi="宋体"/>
                <w:szCs w:val="21"/>
              </w:rPr>
              <w:t>高度：</w:t>
            </w:r>
            <w:r>
              <w:rPr>
                <w:rFonts w:hint="eastAsia" w:ascii="宋体" w:hAnsi="宋体"/>
                <w:szCs w:val="21"/>
              </w:rPr>
              <w:t>≥4</w:t>
            </w:r>
            <w:r>
              <w:rPr>
                <w:rFonts w:ascii="宋体" w:hAnsi="宋体"/>
                <w:szCs w:val="21"/>
              </w:rPr>
              <w:t>.2m；</w:t>
            </w:r>
          </w:p>
          <w:p>
            <w:pPr>
              <w:pStyle w:val="2"/>
              <w:numPr>
                <w:ilvl w:val="0"/>
                <w:numId w:val="6"/>
              </w:numPr>
            </w:pPr>
            <w:r>
              <w:rPr>
                <w:rFonts w:hint="eastAsia"/>
              </w:rPr>
              <w:t>内置滑架</w:t>
            </w:r>
            <w:r>
              <w:t>推平系统：</w:t>
            </w:r>
            <w:r>
              <w:rPr>
                <w:rFonts w:hint="eastAsia"/>
              </w:rPr>
              <w:t>可推平</w:t>
            </w:r>
            <w:r>
              <w:t>料仓内堆积物料，满足料仓</w:t>
            </w:r>
            <w:r>
              <w:rPr>
                <w:rFonts w:hint="eastAsia"/>
              </w:rPr>
              <w:t>有效</w:t>
            </w:r>
            <w:r>
              <w:t>容积要求，材质</w:t>
            </w:r>
            <w:r>
              <w:rPr>
                <w:rFonts w:hint="eastAsia"/>
              </w:rPr>
              <w:t>Q355B, 油缸行程</w:t>
            </w:r>
            <w:r>
              <w:t>，滑架结构由供应商细化</w:t>
            </w:r>
            <w:r>
              <w:rPr>
                <w:rFonts w:hint="eastAsia"/>
              </w:rPr>
              <w:t>；</w:t>
            </w:r>
          </w:p>
          <w:p>
            <w:pPr>
              <w:numPr>
                <w:ilvl w:val="0"/>
                <w:numId w:val="6"/>
              </w:numPr>
              <w:spacing w:line="276" w:lineRule="auto"/>
              <w:rPr>
                <w:rFonts w:hint="eastAsia" w:ascii="宋体" w:hAnsi="宋体"/>
                <w:szCs w:val="21"/>
              </w:rPr>
            </w:pPr>
            <w:r>
              <w:rPr>
                <w:rFonts w:hint="eastAsia" w:ascii="宋体" w:hAnsi="宋体"/>
                <w:szCs w:val="21"/>
              </w:rPr>
              <w:t>斗</w:t>
            </w:r>
            <w:r>
              <w:rPr>
                <w:rFonts w:ascii="宋体" w:hAnsi="宋体"/>
                <w:szCs w:val="21"/>
              </w:rPr>
              <w:t>顶配置</w:t>
            </w:r>
            <w:r>
              <w:rPr>
                <w:rFonts w:hint="eastAsia" w:ascii="宋体" w:hAnsi="宋体"/>
                <w:szCs w:val="21"/>
              </w:rPr>
              <w:t>料位计</w:t>
            </w:r>
            <w:r>
              <w:rPr>
                <w:rFonts w:ascii="宋体" w:hAnsi="宋体"/>
                <w:szCs w:val="21"/>
              </w:rPr>
              <w:t>：</w:t>
            </w:r>
            <w:r>
              <w:rPr>
                <w:rFonts w:hint="eastAsia" w:asciiTheme="minorEastAsia" w:hAnsiTheme="minorEastAsia" w:eastAsiaTheme="minorEastAsia" w:cstheme="minorEastAsia"/>
                <w:sz w:val="20"/>
                <w:szCs w:val="20"/>
              </w:rPr>
              <w:t>1个雷达液位计，选择天康、川仪、</w:t>
            </w:r>
            <w:r>
              <w:rPr>
                <w:rFonts w:hint="default" w:asciiTheme="minorEastAsia" w:hAnsiTheme="minorEastAsia" w:eastAsiaTheme="minorEastAsia" w:cstheme="minorEastAsia"/>
                <w:sz w:val="20"/>
                <w:szCs w:val="20"/>
                <w:woUserID w:val="1"/>
              </w:rPr>
              <w:t>百特</w:t>
            </w:r>
            <w:r>
              <w:rPr>
                <w:rFonts w:hint="eastAsia" w:asciiTheme="minorEastAsia" w:hAnsiTheme="minorEastAsia" w:eastAsiaTheme="minorEastAsia" w:cstheme="minorEastAsia"/>
                <w:sz w:val="20"/>
                <w:szCs w:val="20"/>
              </w:rPr>
              <w:t>或同等品牌</w:t>
            </w:r>
            <w:bookmarkStart w:id="5" w:name="_GoBack"/>
            <w:bookmarkEnd w:id="5"/>
            <w:r>
              <w:rPr>
                <w:rFonts w:ascii="宋体" w:hAnsi="宋体"/>
                <w:szCs w:val="21"/>
              </w:rPr>
              <w:t>；</w:t>
            </w:r>
          </w:p>
          <w:p>
            <w:pPr>
              <w:numPr>
                <w:ilvl w:val="0"/>
                <w:numId w:val="6"/>
              </w:numPr>
              <w:spacing w:line="276" w:lineRule="auto"/>
              <w:rPr>
                <w:rFonts w:hint="eastAsia" w:ascii="宋体" w:hAnsi="宋体"/>
                <w:szCs w:val="21"/>
              </w:rPr>
            </w:pPr>
            <w:r>
              <w:rPr>
                <w:rFonts w:hint="eastAsia" w:ascii="宋体" w:hAnsi="宋体"/>
                <w:szCs w:val="21"/>
              </w:rPr>
              <w:t>单侧</w:t>
            </w:r>
            <w:r>
              <w:rPr>
                <w:rFonts w:ascii="宋体" w:hAnsi="宋体"/>
                <w:szCs w:val="21"/>
              </w:rPr>
              <w:t>壁板配液压斜滑架辅助卸料装置</w:t>
            </w:r>
            <w:r>
              <w:rPr>
                <w:rFonts w:hint="eastAsia" w:ascii="宋体" w:hAnsi="宋体"/>
                <w:szCs w:val="21"/>
              </w:rPr>
              <w:t>1套，滑架材质Q355B，油缸驱动；</w:t>
            </w:r>
            <w:r>
              <w:rPr>
                <w:rFonts w:hint="eastAsia" w:ascii="宋体" w:hAnsi="宋体"/>
                <w:szCs w:val="21"/>
                <w:u w:val="single"/>
              </w:rPr>
              <w:t>（供应商设计细化）</w:t>
            </w:r>
          </w:p>
          <w:p>
            <w:pPr>
              <w:numPr>
                <w:ilvl w:val="0"/>
                <w:numId w:val="6"/>
              </w:numPr>
              <w:spacing w:line="276" w:lineRule="auto"/>
              <w:rPr>
                <w:rFonts w:hint="eastAsia" w:ascii="宋体" w:hAnsi="宋体"/>
                <w:szCs w:val="21"/>
              </w:rPr>
            </w:pPr>
            <w:r>
              <w:rPr>
                <w:rFonts w:hint="eastAsia" w:ascii="宋体" w:hAnsi="宋体"/>
                <w:szCs w:val="21"/>
              </w:rPr>
              <w:t>沼渣斗</w:t>
            </w:r>
            <w:r>
              <w:rPr>
                <w:rFonts w:ascii="宋体" w:hAnsi="宋体"/>
                <w:szCs w:val="21"/>
              </w:rPr>
              <w:t>仓顶</w:t>
            </w:r>
            <w:r>
              <w:rPr>
                <w:rFonts w:hint="eastAsia" w:ascii="宋体" w:hAnsi="宋体"/>
                <w:szCs w:val="21"/>
              </w:rPr>
              <w:t>设置</w:t>
            </w:r>
            <w:r>
              <w:rPr>
                <w:rFonts w:ascii="宋体" w:hAnsi="宋体"/>
                <w:szCs w:val="21"/>
              </w:rPr>
              <w:t>操作</w:t>
            </w:r>
            <w:r>
              <w:rPr>
                <w:rFonts w:hint="eastAsia" w:ascii="宋体" w:hAnsi="宋体"/>
                <w:szCs w:val="21"/>
              </w:rPr>
              <w:t>平台</w:t>
            </w:r>
            <w:r>
              <w:rPr>
                <w:rFonts w:ascii="宋体" w:hAnsi="宋体"/>
                <w:szCs w:val="21"/>
              </w:rPr>
              <w:t>、</w:t>
            </w:r>
            <w:r>
              <w:rPr>
                <w:rFonts w:hint="eastAsia" w:ascii="宋体" w:hAnsi="宋体"/>
                <w:szCs w:val="21"/>
              </w:rPr>
              <w:t>钢</w:t>
            </w:r>
            <w:r>
              <w:rPr>
                <w:rFonts w:ascii="宋体" w:hAnsi="宋体"/>
                <w:szCs w:val="21"/>
              </w:rPr>
              <w:t>梯及栏杆</w:t>
            </w:r>
            <w:r>
              <w:rPr>
                <w:rFonts w:hint="eastAsia" w:ascii="宋体" w:hAnsi="宋体"/>
                <w:szCs w:val="21"/>
              </w:rPr>
              <w:t>，</w:t>
            </w:r>
            <w:r>
              <w:rPr>
                <w:rFonts w:ascii="宋体" w:hAnsi="宋体"/>
                <w:szCs w:val="21"/>
              </w:rPr>
              <w:t>平台采用热浸镀锌格栅板</w:t>
            </w:r>
            <w:r>
              <w:rPr>
                <w:rFonts w:hint="eastAsia" w:ascii="宋体" w:hAnsi="宋体"/>
                <w:szCs w:val="21"/>
              </w:rPr>
              <w:t>，热浸镀锌</w:t>
            </w:r>
            <w:r>
              <w:rPr>
                <w:rFonts w:ascii="宋体" w:hAnsi="宋体"/>
                <w:szCs w:val="21"/>
              </w:rPr>
              <w:t>爬梯、连杆</w:t>
            </w:r>
            <w:r>
              <w:rPr>
                <w:rFonts w:hint="eastAsia" w:ascii="宋体" w:hAnsi="宋体"/>
                <w:szCs w:val="21"/>
              </w:rPr>
              <w:t>+</w:t>
            </w:r>
            <w:r>
              <w:rPr>
                <w:rFonts w:ascii="宋体" w:hAnsi="宋体"/>
                <w:szCs w:val="21"/>
              </w:rPr>
              <w:t>黄色面漆</w:t>
            </w:r>
            <w:r>
              <w:rPr>
                <w:rFonts w:hint="eastAsia" w:ascii="宋体" w:hAnsi="宋体"/>
                <w:szCs w:val="21"/>
              </w:rPr>
              <w:t>；</w:t>
            </w:r>
          </w:p>
          <w:p>
            <w:pPr>
              <w:numPr>
                <w:ilvl w:val="0"/>
                <w:numId w:val="6"/>
              </w:numPr>
              <w:spacing w:line="276" w:lineRule="auto"/>
              <w:rPr>
                <w:rFonts w:hint="eastAsia" w:ascii="宋体" w:hAnsi="宋体" w:cs="长仿宋体"/>
                <w:kern w:val="0"/>
                <w:szCs w:val="21"/>
              </w:rPr>
            </w:pPr>
            <w:r>
              <w:rPr>
                <w:rFonts w:hint="eastAsia" w:ascii="宋体" w:hAnsi="宋体" w:cs="长仿宋体"/>
                <w:kern w:val="0"/>
                <w:szCs w:val="21"/>
              </w:rPr>
              <w:t>顶部</w:t>
            </w:r>
            <w:r>
              <w:rPr>
                <w:rFonts w:ascii="宋体" w:hAnsi="宋体" w:cs="长仿宋体"/>
                <w:kern w:val="0"/>
                <w:szCs w:val="21"/>
              </w:rPr>
              <w:t>设置引风法兰</w:t>
            </w:r>
            <w:r>
              <w:rPr>
                <w:rFonts w:hint="eastAsia" w:ascii="宋体" w:hAnsi="宋体" w:cs="长仿宋体"/>
                <w:kern w:val="0"/>
                <w:szCs w:val="21"/>
              </w:rPr>
              <w:t>Ø</w:t>
            </w:r>
            <w:r>
              <w:rPr>
                <w:rFonts w:ascii="宋体" w:hAnsi="宋体" w:cs="长仿宋体"/>
                <w:kern w:val="0"/>
                <w:szCs w:val="21"/>
              </w:rPr>
              <w:t>25</w:t>
            </w:r>
            <w:r>
              <w:rPr>
                <w:rFonts w:hint="eastAsia" w:ascii="宋体" w:hAnsi="宋体" w:cs="长仿宋体"/>
                <w:kern w:val="0"/>
                <w:szCs w:val="21"/>
              </w:rPr>
              <w:t>0</w:t>
            </w:r>
            <w:r>
              <w:rPr>
                <w:rFonts w:ascii="宋体" w:hAnsi="宋体" w:cs="长仿宋体"/>
                <w:kern w:val="0"/>
                <w:szCs w:val="21"/>
              </w:rPr>
              <w:t>mm</w:t>
            </w:r>
            <w:r>
              <w:rPr>
                <w:rFonts w:hint="eastAsia" w:ascii="宋体" w:hAnsi="宋体" w:cs="长仿宋体"/>
                <w:kern w:val="0"/>
                <w:szCs w:val="21"/>
              </w:rPr>
              <w:t>及检修人孔</w:t>
            </w:r>
            <w:r>
              <w:rPr>
                <w:rFonts w:ascii="宋体" w:hAnsi="宋体" w:cs="长仿宋体"/>
                <w:kern w:val="0"/>
                <w:szCs w:val="21"/>
              </w:rPr>
              <w:t>；</w:t>
            </w:r>
          </w:p>
          <w:p>
            <w:pPr>
              <w:numPr>
                <w:ilvl w:val="0"/>
                <w:numId w:val="6"/>
              </w:numPr>
              <w:spacing w:line="276" w:lineRule="auto"/>
              <w:rPr>
                <w:b/>
              </w:rPr>
            </w:pPr>
            <w:r>
              <w:rPr>
                <w:rFonts w:hint="eastAsia" w:ascii="宋体" w:hAnsi="宋体" w:cs="长仿宋体"/>
                <w:b/>
                <w:color w:val="FF0000"/>
                <w:kern w:val="0"/>
                <w:szCs w:val="21"/>
              </w:rPr>
              <w:t>料仓</w:t>
            </w:r>
            <w:r>
              <w:rPr>
                <w:rFonts w:ascii="宋体" w:hAnsi="宋体" w:cs="长仿宋体"/>
                <w:b/>
                <w:color w:val="FF0000"/>
                <w:kern w:val="0"/>
                <w:szCs w:val="21"/>
              </w:rPr>
              <w:t>腭式阀出口处需设计</w:t>
            </w:r>
            <w:r>
              <w:rPr>
                <w:rFonts w:hint="eastAsia" w:ascii="宋体" w:hAnsi="宋体" w:cs="长仿宋体"/>
                <w:b/>
                <w:color w:val="FF0000"/>
                <w:kern w:val="0"/>
                <w:szCs w:val="21"/>
              </w:rPr>
              <w:t>接液</w:t>
            </w:r>
            <w:r>
              <w:rPr>
                <w:rFonts w:ascii="宋体" w:hAnsi="宋体" w:cs="长仿宋体"/>
                <w:b/>
                <w:color w:val="FF0000"/>
                <w:kern w:val="0"/>
                <w:szCs w:val="21"/>
              </w:rPr>
              <w:t>装置或水密结构，防止沼渣物料发酵产生的水</w:t>
            </w:r>
            <w:r>
              <w:rPr>
                <w:rFonts w:hint="eastAsia" w:ascii="宋体" w:hAnsi="宋体" w:cs="长仿宋体"/>
                <w:b/>
                <w:color w:val="FF0000"/>
                <w:kern w:val="0"/>
                <w:szCs w:val="21"/>
              </w:rPr>
              <w:t>分</w:t>
            </w:r>
            <w:r>
              <w:rPr>
                <w:rFonts w:ascii="宋体" w:hAnsi="宋体" w:cs="长仿宋体"/>
                <w:b/>
                <w:color w:val="FF0000"/>
                <w:kern w:val="0"/>
                <w:szCs w:val="21"/>
              </w:rPr>
              <w:t>导致滴漏情况发生，</w:t>
            </w:r>
            <w:r>
              <w:rPr>
                <w:rFonts w:hint="eastAsia" w:ascii="宋体" w:hAnsi="宋体" w:cs="长仿宋体"/>
                <w:b/>
                <w:color w:val="FF0000"/>
                <w:kern w:val="0"/>
                <w:szCs w:val="21"/>
              </w:rPr>
              <w:t>投标</w:t>
            </w:r>
            <w:r>
              <w:rPr>
                <w:rFonts w:ascii="宋体" w:hAnsi="宋体" w:cs="长仿宋体"/>
                <w:b/>
                <w:color w:val="FF0000"/>
                <w:kern w:val="0"/>
                <w:szCs w:val="21"/>
              </w:rPr>
              <w:t>方案需要与</w:t>
            </w:r>
            <w:r>
              <w:rPr>
                <w:rFonts w:hint="eastAsia" w:ascii="宋体" w:hAnsi="宋体" w:cs="长仿宋体"/>
                <w:b/>
                <w:color w:val="FF0000"/>
                <w:kern w:val="0"/>
                <w:szCs w:val="21"/>
              </w:rPr>
              <w:t>甲方</w:t>
            </w:r>
            <w:r>
              <w:rPr>
                <w:rFonts w:ascii="宋体" w:hAnsi="宋体" w:cs="长仿宋体"/>
                <w:b/>
                <w:color w:val="FF0000"/>
                <w:kern w:val="0"/>
                <w:szCs w:val="21"/>
              </w:rPr>
              <w:t>充分沟通确认。</w:t>
            </w:r>
          </w:p>
        </w:tc>
        <w:tc>
          <w:tcPr>
            <w:tcW w:w="772" w:type="dxa"/>
            <w:shd w:val="clear" w:color="auto" w:fill="auto"/>
          </w:tcPr>
          <w:p>
            <w:pPr>
              <w:spacing w:line="276" w:lineRule="auto"/>
              <w:rPr>
                <w:rFonts w:hint="eastAsia" w:ascii="宋体" w:hAnsi="宋体"/>
                <w:szCs w:val="21"/>
              </w:rPr>
            </w:pPr>
            <w:r>
              <w:rPr>
                <w:rFonts w:ascii="宋体" w:hAnsi="宋体"/>
                <w:szCs w:val="21"/>
              </w:rPr>
              <w:t>5</w:t>
            </w:r>
            <w:r>
              <w:rPr>
                <w:rFonts w:hint="eastAsia" w:ascii="宋体" w:hAnsi="宋体"/>
                <w:szCs w:val="21"/>
              </w:rPr>
              <w:t>套</w:t>
            </w:r>
          </w:p>
        </w:tc>
        <w:tc>
          <w:tcPr>
            <w:tcW w:w="1143" w:type="dxa"/>
            <w:shd w:val="clear" w:color="auto" w:fill="auto"/>
            <w:vAlign w:val="center"/>
          </w:tcPr>
          <w:p>
            <w:pPr>
              <w:spacing w:line="276"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5" w:type="dxa"/>
            <w:shd w:val="clear" w:color="auto" w:fill="auto"/>
            <w:vAlign w:val="center"/>
          </w:tcPr>
          <w:p>
            <w:pPr>
              <w:spacing w:line="276" w:lineRule="auto"/>
              <w:jc w:val="center"/>
              <w:rPr>
                <w:rFonts w:hint="eastAsia" w:ascii="宋体" w:hAnsi="宋体"/>
                <w:szCs w:val="21"/>
              </w:rPr>
            </w:pPr>
            <w:r>
              <w:rPr>
                <w:rFonts w:hint="eastAsia" w:ascii="宋体" w:hAnsi="宋体"/>
                <w:szCs w:val="21"/>
              </w:rPr>
              <w:t>8</w:t>
            </w:r>
          </w:p>
        </w:tc>
        <w:tc>
          <w:tcPr>
            <w:tcW w:w="1378" w:type="dxa"/>
            <w:shd w:val="clear" w:color="auto" w:fill="auto"/>
            <w:vAlign w:val="center"/>
          </w:tcPr>
          <w:p>
            <w:pPr>
              <w:spacing w:line="276" w:lineRule="auto"/>
              <w:jc w:val="center"/>
              <w:rPr>
                <w:rFonts w:hint="eastAsia" w:ascii="宋体" w:hAnsi="宋体"/>
                <w:szCs w:val="21"/>
              </w:rPr>
            </w:pPr>
            <w:r>
              <w:rPr>
                <w:rFonts w:hint="eastAsia" w:ascii="宋体" w:hAnsi="宋体"/>
                <w:szCs w:val="21"/>
              </w:rPr>
              <w:t>液压</w:t>
            </w:r>
            <w:r>
              <w:rPr>
                <w:rFonts w:ascii="宋体" w:hAnsi="宋体"/>
                <w:szCs w:val="21"/>
              </w:rPr>
              <w:t>系统</w:t>
            </w:r>
          </w:p>
        </w:tc>
        <w:tc>
          <w:tcPr>
            <w:tcW w:w="4898" w:type="dxa"/>
            <w:shd w:val="clear" w:color="auto" w:fill="auto"/>
            <w:vAlign w:val="center"/>
          </w:tcPr>
          <w:p>
            <w:pPr>
              <w:numPr>
                <w:ilvl w:val="0"/>
                <w:numId w:val="7"/>
              </w:numPr>
              <w:spacing w:line="276" w:lineRule="auto"/>
              <w:rPr>
                <w:rFonts w:hint="eastAsia" w:ascii="宋体" w:hAnsi="宋体"/>
                <w:szCs w:val="21"/>
              </w:rPr>
            </w:pPr>
            <w:r>
              <w:rPr>
                <w:rFonts w:hint="eastAsia" w:ascii="宋体" w:hAnsi="宋体"/>
                <w:szCs w:val="21"/>
              </w:rPr>
              <w:t>液压站</w:t>
            </w:r>
            <w:r>
              <w:rPr>
                <w:rFonts w:ascii="宋体" w:hAnsi="宋体"/>
                <w:szCs w:val="21"/>
              </w:rPr>
              <w:t>容积：</w:t>
            </w:r>
            <w:r>
              <w:rPr>
                <w:rFonts w:hint="eastAsia" w:ascii="宋体" w:hAnsi="宋体"/>
                <w:szCs w:val="21"/>
              </w:rPr>
              <w:t>160</w:t>
            </w:r>
            <w:r>
              <w:rPr>
                <w:rFonts w:ascii="宋体" w:hAnsi="宋体"/>
                <w:szCs w:val="21"/>
              </w:rPr>
              <w:t>L</w:t>
            </w:r>
            <w:r>
              <w:rPr>
                <w:rFonts w:hint="eastAsia" w:ascii="宋体" w:hAnsi="宋体"/>
                <w:szCs w:val="21"/>
              </w:rPr>
              <w:t>；</w:t>
            </w:r>
            <w:r>
              <w:rPr>
                <w:rFonts w:ascii="宋体" w:hAnsi="宋体"/>
                <w:szCs w:val="21"/>
              </w:rPr>
              <w:t xml:space="preserve"> </w:t>
            </w:r>
          </w:p>
          <w:p>
            <w:pPr>
              <w:numPr>
                <w:ilvl w:val="0"/>
                <w:numId w:val="7"/>
              </w:numPr>
              <w:spacing w:line="276" w:lineRule="auto"/>
              <w:rPr>
                <w:rFonts w:hint="eastAsia" w:ascii="宋体" w:hAnsi="宋体"/>
                <w:szCs w:val="21"/>
              </w:rPr>
            </w:pPr>
            <w:r>
              <w:rPr>
                <w:rFonts w:hint="eastAsia" w:ascii="宋体" w:hAnsi="宋体"/>
                <w:szCs w:val="21"/>
              </w:rPr>
              <w:t>功率</w:t>
            </w:r>
            <w:r>
              <w:rPr>
                <w:rFonts w:ascii="宋体" w:hAnsi="宋体"/>
                <w:szCs w:val="21"/>
              </w:rPr>
              <w:t>：</w:t>
            </w:r>
            <w:r>
              <w:rPr>
                <w:rFonts w:hint="eastAsia" w:ascii="宋体" w:hAnsi="宋体"/>
                <w:szCs w:val="21"/>
              </w:rPr>
              <w:t>5</w:t>
            </w:r>
            <w:r>
              <w:rPr>
                <w:rFonts w:ascii="宋体" w:hAnsi="宋体"/>
                <w:szCs w:val="21"/>
              </w:rPr>
              <w:t>.5Kw</w:t>
            </w:r>
            <w:r>
              <w:rPr>
                <w:rFonts w:hint="eastAsia" w:ascii="宋体" w:hAnsi="宋体"/>
                <w:szCs w:val="21"/>
              </w:rPr>
              <w:t>（供参考）</w:t>
            </w:r>
            <w:r>
              <w:rPr>
                <w:rFonts w:ascii="宋体" w:hAnsi="宋体"/>
                <w:szCs w:val="21"/>
              </w:rPr>
              <w:t>，</w:t>
            </w:r>
            <w:r>
              <w:rPr>
                <w:rFonts w:hint="eastAsia" w:ascii="宋体" w:hAnsi="宋体" w:cs="长仿宋体"/>
                <w:kern w:val="0"/>
                <w:szCs w:val="21"/>
              </w:rPr>
              <w:t>防护等级IP55，绝缘等级F，</w:t>
            </w:r>
            <w:r>
              <w:rPr>
                <w:rFonts w:ascii="宋体" w:hAnsi="宋体" w:cs="长仿宋体"/>
                <w:kern w:val="0"/>
                <w:szCs w:val="21"/>
              </w:rPr>
              <w:t>电机</w:t>
            </w:r>
            <w:r>
              <w:rPr>
                <w:rFonts w:hint="eastAsia" w:ascii="宋体" w:hAnsi="宋体" w:cs="长仿宋体"/>
                <w:kern w:val="0"/>
                <w:szCs w:val="21"/>
              </w:rPr>
              <w:t>能耗等级GB18613-2020 2级；</w:t>
            </w:r>
          </w:p>
          <w:p>
            <w:pPr>
              <w:numPr>
                <w:ilvl w:val="0"/>
                <w:numId w:val="7"/>
              </w:numPr>
              <w:spacing w:line="276" w:lineRule="auto"/>
              <w:rPr>
                <w:rFonts w:hint="eastAsia" w:ascii="宋体" w:hAnsi="宋体"/>
                <w:szCs w:val="21"/>
              </w:rPr>
            </w:pPr>
            <w:r>
              <w:rPr>
                <w:rFonts w:hint="eastAsia" w:ascii="宋体" w:hAnsi="宋体"/>
                <w:szCs w:val="21"/>
              </w:rPr>
              <w:t>工作压力</w:t>
            </w:r>
            <w:r>
              <w:rPr>
                <w:rFonts w:ascii="宋体" w:hAnsi="宋体"/>
                <w:szCs w:val="21"/>
              </w:rPr>
              <w:t>：</w:t>
            </w:r>
            <w:r>
              <w:rPr>
                <w:rFonts w:hint="eastAsia" w:ascii="宋体" w:hAnsi="宋体"/>
                <w:szCs w:val="21"/>
              </w:rPr>
              <w:t>≤10MP</w:t>
            </w:r>
            <w:r>
              <w:rPr>
                <w:rFonts w:ascii="宋体" w:hAnsi="宋体"/>
                <w:szCs w:val="21"/>
              </w:rPr>
              <w:t>a；</w:t>
            </w:r>
          </w:p>
          <w:p>
            <w:pPr>
              <w:numPr>
                <w:ilvl w:val="0"/>
                <w:numId w:val="7"/>
              </w:numPr>
              <w:spacing w:line="276" w:lineRule="auto"/>
              <w:rPr>
                <w:rFonts w:hint="eastAsia" w:ascii="宋体" w:hAnsi="宋体"/>
                <w:szCs w:val="21"/>
              </w:rPr>
            </w:pPr>
            <w:r>
              <w:rPr>
                <w:rFonts w:hint="eastAsia" w:ascii="宋体" w:hAnsi="宋体"/>
                <w:szCs w:val="21"/>
              </w:rPr>
              <w:t>控制</w:t>
            </w:r>
            <w:r>
              <w:rPr>
                <w:rFonts w:ascii="宋体" w:hAnsi="宋体"/>
                <w:szCs w:val="21"/>
              </w:rPr>
              <w:t>鳄式阀</w:t>
            </w:r>
            <w:r>
              <w:rPr>
                <w:rFonts w:hint="eastAsia" w:ascii="宋体" w:hAnsi="宋体"/>
                <w:szCs w:val="21"/>
              </w:rPr>
              <w:t>、斜滑架辅助卸料装置及滑架推平系统的运行；</w:t>
            </w:r>
          </w:p>
        </w:tc>
        <w:tc>
          <w:tcPr>
            <w:tcW w:w="772" w:type="dxa"/>
            <w:shd w:val="clear" w:color="auto" w:fill="auto"/>
          </w:tcPr>
          <w:p>
            <w:pPr>
              <w:spacing w:line="276" w:lineRule="auto"/>
              <w:rPr>
                <w:rFonts w:hint="eastAsia" w:ascii="宋体" w:hAnsi="宋体"/>
                <w:szCs w:val="21"/>
              </w:rPr>
            </w:pPr>
            <w:r>
              <w:rPr>
                <w:rFonts w:ascii="宋体" w:hAnsi="宋体"/>
                <w:szCs w:val="21"/>
              </w:rPr>
              <w:t>5</w:t>
            </w:r>
            <w:r>
              <w:rPr>
                <w:rFonts w:hint="eastAsia" w:ascii="宋体" w:hAnsi="宋体"/>
                <w:szCs w:val="21"/>
              </w:rPr>
              <w:t>套</w:t>
            </w:r>
          </w:p>
        </w:tc>
        <w:tc>
          <w:tcPr>
            <w:tcW w:w="1143" w:type="dxa"/>
            <w:shd w:val="clear" w:color="auto" w:fill="auto"/>
            <w:vAlign w:val="center"/>
          </w:tcPr>
          <w:p>
            <w:pPr>
              <w:spacing w:line="276"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5" w:type="dxa"/>
            <w:shd w:val="clear" w:color="auto" w:fill="auto"/>
            <w:vAlign w:val="center"/>
          </w:tcPr>
          <w:p>
            <w:pPr>
              <w:spacing w:line="276" w:lineRule="auto"/>
              <w:jc w:val="center"/>
              <w:rPr>
                <w:rFonts w:hint="eastAsia" w:ascii="宋体" w:hAnsi="宋体"/>
                <w:szCs w:val="21"/>
              </w:rPr>
            </w:pPr>
            <w:r>
              <w:rPr>
                <w:rFonts w:hint="eastAsia" w:ascii="宋体" w:hAnsi="宋体"/>
                <w:szCs w:val="21"/>
              </w:rPr>
              <w:t>9</w:t>
            </w:r>
          </w:p>
        </w:tc>
        <w:tc>
          <w:tcPr>
            <w:tcW w:w="1378" w:type="dxa"/>
            <w:shd w:val="clear" w:color="auto" w:fill="auto"/>
            <w:vAlign w:val="center"/>
          </w:tcPr>
          <w:p>
            <w:pPr>
              <w:spacing w:line="276" w:lineRule="auto"/>
              <w:jc w:val="center"/>
              <w:rPr>
                <w:rFonts w:hint="eastAsia" w:ascii="宋体" w:hAnsi="宋体"/>
                <w:szCs w:val="21"/>
              </w:rPr>
            </w:pPr>
            <w:r>
              <w:rPr>
                <w:rFonts w:hint="eastAsia" w:ascii="宋体" w:hAnsi="宋体"/>
                <w:szCs w:val="21"/>
              </w:rPr>
              <w:t>控制柜</w:t>
            </w:r>
          </w:p>
        </w:tc>
        <w:tc>
          <w:tcPr>
            <w:tcW w:w="4898" w:type="dxa"/>
            <w:shd w:val="clear" w:color="auto" w:fill="auto"/>
            <w:vAlign w:val="center"/>
          </w:tcPr>
          <w:p>
            <w:pPr>
              <w:numPr>
                <w:ilvl w:val="0"/>
                <w:numId w:val="8"/>
              </w:numPr>
              <w:spacing w:line="276" w:lineRule="auto"/>
              <w:rPr>
                <w:rFonts w:hint="eastAsia" w:ascii="宋体" w:hAnsi="宋体"/>
                <w:szCs w:val="21"/>
              </w:rPr>
            </w:pPr>
            <w:r>
              <w:rPr>
                <w:rFonts w:hint="eastAsia" w:ascii="宋体" w:hAnsi="宋体"/>
                <w:szCs w:val="21"/>
              </w:rPr>
              <w:t>安装</w:t>
            </w:r>
            <w:r>
              <w:rPr>
                <w:rFonts w:ascii="宋体" w:hAnsi="宋体"/>
                <w:szCs w:val="21"/>
              </w:rPr>
              <w:t>位置：室内；</w:t>
            </w:r>
          </w:p>
          <w:p>
            <w:pPr>
              <w:numPr>
                <w:ilvl w:val="0"/>
                <w:numId w:val="8"/>
              </w:numPr>
              <w:spacing w:line="276" w:lineRule="auto"/>
              <w:rPr>
                <w:rFonts w:hint="eastAsia" w:ascii="宋体" w:hAnsi="宋体"/>
                <w:szCs w:val="21"/>
              </w:rPr>
            </w:pPr>
            <w:r>
              <w:rPr>
                <w:rFonts w:hint="eastAsia" w:ascii="宋体" w:hAnsi="宋体"/>
                <w:szCs w:val="21"/>
              </w:rPr>
              <w:t>柜壳</w:t>
            </w:r>
            <w:r>
              <w:rPr>
                <w:rFonts w:ascii="宋体" w:hAnsi="宋体"/>
                <w:szCs w:val="21"/>
              </w:rPr>
              <w:t>材质：碳钢喷塑；</w:t>
            </w:r>
          </w:p>
          <w:p>
            <w:pPr>
              <w:numPr>
                <w:ilvl w:val="0"/>
                <w:numId w:val="8"/>
              </w:numPr>
              <w:spacing w:line="276" w:lineRule="auto"/>
              <w:rPr>
                <w:rStyle w:val="18"/>
                <w:rFonts w:hint="eastAsia" w:ascii="宋体" w:hAnsi="宋体"/>
              </w:rPr>
            </w:pPr>
            <w:r>
              <w:rPr>
                <w:rFonts w:hint="eastAsia" w:ascii="宋体" w:hAnsi="宋体"/>
                <w:szCs w:val="21"/>
              </w:rPr>
              <w:t>主要</w:t>
            </w:r>
            <w:r>
              <w:rPr>
                <w:rFonts w:ascii="宋体" w:hAnsi="宋体"/>
                <w:szCs w:val="21"/>
              </w:rPr>
              <w:t>电气元件：施耐德</w:t>
            </w:r>
            <w:r>
              <w:rPr>
                <w:rFonts w:hint="eastAsia" w:ascii="宋体" w:hAnsi="宋体"/>
                <w:szCs w:val="21"/>
              </w:rPr>
              <w:t>，PLC西门子；</w:t>
            </w:r>
          </w:p>
          <w:p>
            <w:pPr>
              <w:numPr>
                <w:ilvl w:val="0"/>
                <w:numId w:val="8"/>
              </w:numPr>
              <w:spacing w:line="276" w:lineRule="auto"/>
              <w:rPr>
                <w:rFonts w:hint="eastAsia" w:ascii="宋体" w:hAnsi="宋体"/>
                <w:szCs w:val="21"/>
              </w:rPr>
            </w:pPr>
            <w:r>
              <w:rPr>
                <w:rFonts w:hint="eastAsia" w:ascii="宋体" w:hAnsi="宋体"/>
                <w:szCs w:val="21"/>
              </w:rPr>
              <w:t>料仓配置</w:t>
            </w:r>
            <w:r>
              <w:rPr>
                <w:rFonts w:ascii="宋体" w:hAnsi="宋体"/>
                <w:szCs w:val="21"/>
              </w:rPr>
              <w:t>机旁</w:t>
            </w:r>
            <w:r>
              <w:rPr>
                <w:rFonts w:hint="eastAsia" w:ascii="宋体" w:hAnsi="宋体"/>
                <w:szCs w:val="21"/>
              </w:rPr>
              <w:t>304不锈钢</w:t>
            </w:r>
            <w:r>
              <w:rPr>
                <w:rFonts w:ascii="宋体" w:hAnsi="宋体"/>
                <w:szCs w:val="21"/>
              </w:rPr>
              <w:t>操作箱5</w:t>
            </w:r>
            <w:r>
              <w:rPr>
                <w:rFonts w:hint="eastAsia" w:ascii="宋体" w:hAnsi="宋体"/>
                <w:szCs w:val="21"/>
              </w:rPr>
              <w:t>套。</w:t>
            </w:r>
          </w:p>
        </w:tc>
        <w:tc>
          <w:tcPr>
            <w:tcW w:w="772" w:type="dxa"/>
            <w:shd w:val="clear" w:color="auto" w:fill="auto"/>
          </w:tcPr>
          <w:p>
            <w:pPr>
              <w:spacing w:line="276" w:lineRule="auto"/>
              <w:rPr>
                <w:rFonts w:hint="eastAsia" w:ascii="宋体" w:hAnsi="宋体"/>
                <w:szCs w:val="21"/>
              </w:rPr>
            </w:pPr>
            <w:r>
              <w:rPr>
                <w:rFonts w:hint="eastAsia" w:ascii="宋体" w:hAnsi="宋体"/>
                <w:szCs w:val="21"/>
              </w:rPr>
              <w:t>1套</w:t>
            </w:r>
          </w:p>
        </w:tc>
        <w:tc>
          <w:tcPr>
            <w:tcW w:w="1143" w:type="dxa"/>
            <w:shd w:val="clear" w:color="auto" w:fill="auto"/>
            <w:vAlign w:val="center"/>
          </w:tcPr>
          <w:p>
            <w:pPr>
              <w:spacing w:line="276" w:lineRule="auto"/>
              <w:jc w:val="center"/>
              <w:rPr>
                <w:rFonts w:hint="eastAsia" w:ascii="宋体" w:hAnsi="宋体"/>
                <w:szCs w:val="21"/>
              </w:rPr>
            </w:pPr>
            <w:r>
              <w:rPr>
                <w:rFonts w:hint="eastAsia" w:ascii="宋体" w:hAnsi="宋体"/>
                <w:szCs w:val="21"/>
              </w:rPr>
              <w:t>螺旋输送</w:t>
            </w:r>
            <w:r>
              <w:rPr>
                <w:rFonts w:ascii="宋体" w:hAnsi="宋体"/>
                <w:szCs w:val="21"/>
              </w:rPr>
              <w:t>机</w:t>
            </w:r>
            <w:r>
              <w:rPr>
                <w:rFonts w:hint="eastAsia" w:ascii="宋体" w:hAnsi="宋体"/>
                <w:szCs w:val="21"/>
              </w:rPr>
              <w:t>的</w:t>
            </w:r>
            <w:r>
              <w:rPr>
                <w:rFonts w:ascii="宋体" w:hAnsi="宋体"/>
                <w:szCs w:val="21"/>
              </w:rPr>
              <w:t>控制柜由甲方负责设计及提供</w:t>
            </w:r>
          </w:p>
        </w:tc>
      </w:tr>
    </w:tbl>
    <w:p>
      <w:pPr>
        <w:pStyle w:val="2"/>
      </w:pPr>
    </w:p>
    <w:p>
      <w:pPr>
        <w:autoSpaceDE w:val="0"/>
        <w:autoSpaceDN w:val="0"/>
        <w:adjustRightInd w:val="0"/>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以上设备清单，各螺旋包含对应进出口料斗、设备支腿、检修口、标准快拆盖、</w:t>
      </w:r>
      <w:r>
        <w:rPr>
          <w:rFonts w:asciiTheme="minorEastAsia" w:hAnsiTheme="minorEastAsia" w:eastAsiaTheme="minorEastAsia" w:cstheme="minorEastAsia"/>
          <w:sz w:val="24"/>
          <w:szCs w:val="24"/>
        </w:rPr>
        <w:t>引风罩</w:t>
      </w:r>
      <w:r>
        <w:rPr>
          <w:rFonts w:hint="eastAsia" w:asciiTheme="minorEastAsia" w:hAnsiTheme="minorEastAsia" w:eastAsiaTheme="minorEastAsia" w:cstheme="minorEastAsia"/>
          <w:sz w:val="24"/>
          <w:szCs w:val="24"/>
        </w:rPr>
        <w:t>（即除臭盖）等辅件。</w:t>
      </w:r>
    </w:p>
    <w:p>
      <w:pPr>
        <w:pStyle w:val="13"/>
        <w:numPr>
          <w:ilvl w:val="0"/>
          <w:numId w:val="1"/>
        </w:numPr>
        <w:jc w:val="left"/>
        <w:rPr>
          <w:sz w:val="28"/>
          <w:szCs w:val="28"/>
        </w:rPr>
      </w:pPr>
      <w:r>
        <w:rPr>
          <w:rFonts w:hint="eastAsia"/>
          <w:sz w:val="28"/>
          <w:szCs w:val="28"/>
        </w:rPr>
        <w:t>系统</w:t>
      </w:r>
      <w:r>
        <w:rPr>
          <w:sz w:val="28"/>
          <w:szCs w:val="28"/>
        </w:rPr>
        <w:t>设备功能</w:t>
      </w:r>
      <w:r>
        <w:rPr>
          <w:rFonts w:hint="eastAsia"/>
          <w:sz w:val="28"/>
          <w:szCs w:val="28"/>
        </w:rPr>
        <w:t>指标</w:t>
      </w:r>
    </w:p>
    <w:tbl>
      <w:tblPr>
        <w:tblStyle w:val="15"/>
        <w:tblW w:w="863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75"/>
        <w:gridCol w:w="2465"/>
        <w:gridCol w:w="1807"/>
        <w:gridCol w:w="1559"/>
        <w:gridCol w:w="2126"/>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82" w:hRule="atLeast"/>
          <w:tblHeader/>
          <w:jc w:val="center"/>
        </w:trPr>
        <w:tc>
          <w:tcPr>
            <w:tcW w:w="675" w:type="dxa"/>
            <w:vAlign w:val="center"/>
          </w:tcPr>
          <w:p>
            <w:pPr>
              <w:spacing w:line="360" w:lineRule="auto"/>
              <w:jc w:val="center"/>
              <w:rPr>
                <w:rFonts w:hint="eastAsia" w:ascii="宋体" w:hAnsi="宋体" w:cs="宋体"/>
                <w:b/>
                <w:color w:val="000000"/>
                <w:szCs w:val="21"/>
              </w:rPr>
            </w:pPr>
            <w:r>
              <w:rPr>
                <w:rFonts w:hint="eastAsia" w:ascii="宋体" w:hAnsi="宋体" w:cs="宋体"/>
                <w:b/>
                <w:color w:val="000000"/>
                <w:szCs w:val="21"/>
              </w:rPr>
              <w:t>序号</w:t>
            </w:r>
          </w:p>
        </w:tc>
        <w:tc>
          <w:tcPr>
            <w:tcW w:w="2465" w:type="dxa"/>
            <w:vAlign w:val="center"/>
          </w:tcPr>
          <w:p>
            <w:pPr>
              <w:spacing w:line="360" w:lineRule="auto"/>
              <w:jc w:val="center"/>
              <w:rPr>
                <w:rFonts w:hint="eastAsia" w:ascii="宋体" w:hAnsi="宋体" w:cs="宋体"/>
                <w:b/>
                <w:color w:val="000000"/>
                <w:szCs w:val="21"/>
              </w:rPr>
            </w:pPr>
            <w:r>
              <w:rPr>
                <w:rFonts w:hint="eastAsia" w:ascii="宋体" w:hAnsi="宋体" w:cs="宋体"/>
                <w:b/>
                <w:color w:val="000000"/>
                <w:szCs w:val="21"/>
              </w:rPr>
              <w:t>名  称</w:t>
            </w:r>
          </w:p>
        </w:tc>
        <w:tc>
          <w:tcPr>
            <w:tcW w:w="1807" w:type="dxa"/>
            <w:vAlign w:val="center"/>
          </w:tcPr>
          <w:p>
            <w:pPr>
              <w:spacing w:line="360" w:lineRule="auto"/>
              <w:jc w:val="center"/>
              <w:rPr>
                <w:rFonts w:hint="eastAsia" w:ascii="宋体" w:hAnsi="宋体" w:cs="宋体"/>
                <w:b/>
                <w:color w:val="000000"/>
                <w:szCs w:val="21"/>
              </w:rPr>
            </w:pPr>
            <w:r>
              <w:rPr>
                <w:rFonts w:hint="eastAsia" w:ascii="宋体" w:hAnsi="宋体" w:cs="宋体"/>
                <w:b/>
                <w:color w:val="000000"/>
                <w:szCs w:val="21"/>
              </w:rPr>
              <w:t>单位</w:t>
            </w:r>
          </w:p>
        </w:tc>
        <w:tc>
          <w:tcPr>
            <w:tcW w:w="1559" w:type="dxa"/>
            <w:vAlign w:val="center"/>
          </w:tcPr>
          <w:p>
            <w:pPr>
              <w:spacing w:line="360" w:lineRule="auto"/>
              <w:jc w:val="center"/>
              <w:rPr>
                <w:rFonts w:hint="eastAsia" w:ascii="宋体" w:hAnsi="宋体" w:cs="宋体"/>
                <w:b/>
                <w:color w:val="000000"/>
                <w:szCs w:val="21"/>
              </w:rPr>
            </w:pPr>
            <w:r>
              <w:rPr>
                <w:rFonts w:hint="eastAsia" w:ascii="宋体" w:hAnsi="宋体" w:cs="宋体"/>
                <w:b/>
                <w:color w:val="000000"/>
                <w:szCs w:val="21"/>
              </w:rPr>
              <w:t>数值</w:t>
            </w:r>
          </w:p>
        </w:tc>
        <w:tc>
          <w:tcPr>
            <w:tcW w:w="2126" w:type="dxa"/>
            <w:vAlign w:val="center"/>
          </w:tcPr>
          <w:p>
            <w:pPr>
              <w:spacing w:line="360" w:lineRule="auto"/>
              <w:jc w:val="center"/>
              <w:rPr>
                <w:rFonts w:hint="eastAsia" w:ascii="宋体" w:hAnsi="宋体" w:cs="宋体"/>
                <w:b/>
                <w:color w:val="000000"/>
                <w:szCs w:val="21"/>
              </w:rPr>
            </w:pPr>
            <w:r>
              <w:rPr>
                <w:rFonts w:hint="eastAsia" w:ascii="宋体" w:hAnsi="宋体" w:cs="宋体"/>
                <w:b/>
                <w:color w:val="000000"/>
                <w:szCs w:val="21"/>
              </w:rPr>
              <w:t>备注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 w:hRule="atLeast"/>
          <w:jc w:val="center"/>
        </w:trPr>
        <w:tc>
          <w:tcPr>
            <w:tcW w:w="675" w:type="dxa"/>
            <w:vAlign w:val="center"/>
          </w:tcPr>
          <w:p>
            <w:pPr>
              <w:pStyle w:val="19"/>
              <w:numPr>
                <w:ilvl w:val="0"/>
                <w:numId w:val="9"/>
              </w:numPr>
              <w:spacing w:line="360" w:lineRule="auto"/>
              <w:ind w:left="577" w:hanging="157" w:firstLineChars="0"/>
              <w:jc w:val="center"/>
              <w:rPr>
                <w:rFonts w:hint="eastAsia" w:ascii="宋体" w:hAnsi="宋体" w:cs="宋体"/>
                <w:color w:val="000000"/>
                <w:szCs w:val="21"/>
              </w:rPr>
            </w:pPr>
          </w:p>
        </w:tc>
        <w:tc>
          <w:tcPr>
            <w:tcW w:w="2465" w:type="dxa"/>
            <w:vAlign w:val="center"/>
          </w:tcPr>
          <w:p>
            <w:pPr>
              <w:spacing w:line="360" w:lineRule="auto"/>
              <w:jc w:val="center"/>
              <w:rPr>
                <w:rFonts w:hint="eastAsia" w:ascii="宋体" w:hAnsi="宋体" w:cs="宋体"/>
                <w:color w:val="000000"/>
                <w:szCs w:val="21"/>
              </w:rPr>
            </w:pPr>
            <w:r>
              <w:rPr>
                <w:rFonts w:hint="eastAsia" w:ascii="宋体" w:hAnsi="宋体" w:cs="宋体"/>
                <w:color w:val="000000"/>
                <w:szCs w:val="21"/>
              </w:rPr>
              <w:t>进</w:t>
            </w:r>
            <w:r>
              <w:rPr>
                <w:rFonts w:ascii="宋体" w:hAnsi="宋体" w:cs="宋体"/>
                <w:color w:val="000000"/>
                <w:szCs w:val="21"/>
              </w:rPr>
              <w:t>料</w:t>
            </w:r>
            <w:r>
              <w:rPr>
                <w:rFonts w:hint="eastAsia" w:ascii="宋体" w:hAnsi="宋体" w:cs="宋体"/>
                <w:color w:val="000000"/>
                <w:szCs w:val="21"/>
              </w:rPr>
              <w:t>泥</w:t>
            </w:r>
            <w:r>
              <w:rPr>
                <w:rFonts w:ascii="宋体" w:hAnsi="宋体" w:cs="宋体"/>
                <w:color w:val="000000"/>
                <w:szCs w:val="21"/>
              </w:rPr>
              <w:t>饼含</w:t>
            </w:r>
            <w:r>
              <w:rPr>
                <w:rFonts w:hint="eastAsia" w:ascii="宋体" w:hAnsi="宋体" w:cs="宋体"/>
                <w:color w:val="000000"/>
                <w:szCs w:val="21"/>
              </w:rPr>
              <w:t>水</w:t>
            </w:r>
            <w:r>
              <w:rPr>
                <w:rFonts w:ascii="宋体" w:hAnsi="宋体" w:cs="宋体"/>
                <w:color w:val="000000"/>
                <w:szCs w:val="21"/>
              </w:rPr>
              <w:t>率</w:t>
            </w:r>
          </w:p>
        </w:tc>
        <w:tc>
          <w:tcPr>
            <w:tcW w:w="1807" w:type="dxa"/>
            <w:vAlign w:val="center"/>
          </w:tcPr>
          <w:p>
            <w:pPr>
              <w:spacing w:line="360" w:lineRule="auto"/>
              <w:jc w:val="center"/>
              <w:rPr>
                <w:rFonts w:hint="eastAsia" w:ascii="宋体" w:hAnsi="宋体" w:cs="宋体"/>
                <w:color w:val="000000"/>
                <w:szCs w:val="21"/>
              </w:rPr>
            </w:pPr>
            <w:r>
              <w:rPr>
                <w:rFonts w:hint="eastAsia" w:ascii="宋体" w:hAnsi="宋体" w:cs="宋体"/>
                <w:color w:val="000000"/>
                <w:szCs w:val="21"/>
              </w:rPr>
              <w:t>--</w:t>
            </w:r>
          </w:p>
        </w:tc>
        <w:tc>
          <w:tcPr>
            <w:tcW w:w="1559" w:type="dxa"/>
            <w:vAlign w:val="center"/>
          </w:tcPr>
          <w:p>
            <w:pPr>
              <w:spacing w:line="360" w:lineRule="auto"/>
              <w:jc w:val="center"/>
              <w:rPr>
                <w:rFonts w:hint="eastAsia" w:ascii="宋体" w:hAnsi="宋体" w:cs="宋体"/>
                <w:color w:val="000000"/>
                <w:szCs w:val="21"/>
              </w:rPr>
            </w:pPr>
            <w:r>
              <w:rPr>
                <w:rFonts w:hint="eastAsia" w:ascii="宋体" w:hAnsi="宋体" w:cs="宋体"/>
                <w:color w:val="000000"/>
                <w:szCs w:val="21"/>
              </w:rPr>
              <w:t>60-7</w:t>
            </w:r>
            <w:r>
              <w:rPr>
                <w:rFonts w:ascii="宋体" w:hAnsi="宋体" w:cs="宋体"/>
                <w:color w:val="000000"/>
                <w:szCs w:val="21"/>
              </w:rPr>
              <w:t>2</w:t>
            </w:r>
            <w:r>
              <w:rPr>
                <w:rFonts w:hint="eastAsia" w:ascii="宋体" w:hAnsi="宋体" w:cs="宋体"/>
                <w:color w:val="000000"/>
                <w:szCs w:val="21"/>
              </w:rPr>
              <w:t>%</w:t>
            </w:r>
          </w:p>
        </w:tc>
        <w:tc>
          <w:tcPr>
            <w:tcW w:w="2126" w:type="dxa"/>
            <w:vAlign w:val="center"/>
          </w:tcPr>
          <w:p>
            <w:pPr>
              <w:spacing w:line="360" w:lineRule="auto"/>
              <w:jc w:val="center"/>
              <w:rPr>
                <w:rFonts w:hint="eastAsia" w:ascii="宋体" w:hAnsi="宋体" w:cs="宋体"/>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44" w:hRule="atLeast"/>
          <w:jc w:val="center"/>
        </w:trPr>
        <w:tc>
          <w:tcPr>
            <w:tcW w:w="675" w:type="dxa"/>
            <w:vAlign w:val="center"/>
          </w:tcPr>
          <w:p>
            <w:pPr>
              <w:pStyle w:val="19"/>
              <w:numPr>
                <w:ilvl w:val="0"/>
                <w:numId w:val="9"/>
              </w:numPr>
              <w:spacing w:line="360" w:lineRule="auto"/>
              <w:ind w:left="577" w:hanging="157" w:firstLineChars="0"/>
              <w:jc w:val="center"/>
              <w:rPr>
                <w:rFonts w:hint="eastAsia" w:ascii="宋体" w:hAnsi="宋体" w:cs="宋体"/>
                <w:color w:val="000000"/>
                <w:szCs w:val="21"/>
              </w:rPr>
            </w:pPr>
          </w:p>
        </w:tc>
        <w:tc>
          <w:tcPr>
            <w:tcW w:w="2465" w:type="dxa"/>
            <w:vAlign w:val="center"/>
          </w:tcPr>
          <w:p>
            <w:pPr>
              <w:spacing w:line="360" w:lineRule="auto"/>
              <w:jc w:val="center"/>
              <w:rPr>
                <w:rFonts w:hint="eastAsia" w:ascii="宋体" w:hAnsi="宋体" w:cs="宋体"/>
                <w:color w:val="000000"/>
                <w:szCs w:val="21"/>
              </w:rPr>
            </w:pPr>
            <w:r>
              <w:rPr>
                <w:rFonts w:hint="eastAsia" w:ascii="宋体" w:hAnsi="宋体" w:cs="宋体"/>
                <w:color w:val="000000"/>
                <w:szCs w:val="21"/>
              </w:rPr>
              <w:t>螺旋输送</w:t>
            </w:r>
            <w:r>
              <w:rPr>
                <w:rFonts w:ascii="宋体" w:hAnsi="宋体" w:cs="宋体"/>
                <w:color w:val="000000"/>
                <w:szCs w:val="21"/>
              </w:rPr>
              <w:t>能力</w:t>
            </w:r>
          </w:p>
        </w:tc>
        <w:tc>
          <w:tcPr>
            <w:tcW w:w="1807" w:type="dxa"/>
            <w:vAlign w:val="center"/>
          </w:tcPr>
          <w:p>
            <w:pPr>
              <w:spacing w:line="360" w:lineRule="auto"/>
              <w:jc w:val="center"/>
              <w:rPr>
                <w:rFonts w:hint="eastAsia" w:ascii="宋体" w:hAnsi="宋体" w:cs="宋体"/>
                <w:color w:val="000000"/>
                <w:szCs w:val="21"/>
              </w:rPr>
            </w:pPr>
            <w:r>
              <w:rPr>
                <w:rFonts w:hint="eastAsia" w:ascii="宋体" w:hAnsi="宋体"/>
                <w:szCs w:val="21"/>
              </w:rPr>
              <w:t>m</w:t>
            </w:r>
            <w:r>
              <w:rPr>
                <w:rFonts w:hint="eastAsia" w:ascii="宋体" w:hAnsi="宋体"/>
                <w:szCs w:val="21"/>
                <w:vertAlign w:val="superscript"/>
              </w:rPr>
              <w:t>3</w:t>
            </w:r>
            <w:r>
              <w:rPr>
                <w:rFonts w:hint="eastAsia" w:ascii="宋体" w:hAnsi="宋体"/>
                <w:szCs w:val="21"/>
              </w:rPr>
              <w:t>/h</w:t>
            </w:r>
          </w:p>
        </w:tc>
        <w:tc>
          <w:tcPr>
            <w:tcW w:w="1559" w:type="dxa"/>
            <w:vAlign w:val="center"/>
          </w:tcPr>
          <w:p>
            <w:pPr>
              <w:spacing w:line="360" w:lineRule="auto"/>
              <w:jc w:val="center"/>
              <w:rPr>
                <w:rFonts w:hint="eastAsia" w:ascii="宋体" w:hAnsi="宋体" w:cs="宋体"/>
                <w:color w:val="000000"/>
                <w:szCs w:val="21"/>
              </w:rPr>
            </w:pPr>
            <w:r>
              <w:rPr>
                <w:rFonts w:hint="eastAsia" w:ascii="宋体" w:hAnsi="宋体" w:cs="宋体"/>
                <w:color w:val="000000"/>
                <w:szCs w:val="21"/>
              </w:rPr>
              <w:t>30</w:t>
            </w:r>
          </w:p>
        </w:tc>
        <w:tc>
          <w:tcPr>
            <w:tcW w:w="2126" w:type="dxa"/>
            <w:vAlign w:val="center"/>
          </w:tcPr>
          <w:p>
            <w:pPr>
              <w:spacing w:line="360" w:lineRule="auto"/>
              <w:jc w:val="center"/>
              <w:rPr>
                <w:rFonts w:hint="eastAsia" w:ascii="宋体" w:hAnsi="宋体" w:cs="宋体"/>
                <w:color w:val="000000"/>
                <w:szCs w:val="21"/>
              </w:rPr>
            </w:pPr>
            <w:r>
              <w:rPr>
                <w:rFonts w:hint="eastAsia" w:ascii="宋体" w:hAnsi="宋体" w:cs="宋体"/>
                <w:color w:val="000000"/>
                <w:szCs w:val="21"/>
              </w:rPr>
              <w:t>变频</w:t>
            </w:r>
            <w:r>
              <w:rPr>
                <w:rFonts w:ascii="宋体" w:hAnsi="宋体" w:cs="宋体"/>
                <w:color w:val="000000"/>
                <w:szCs w:val="21"/>
              </w:rPr>
              <w:t>调速</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44" w:hRule="atLeast"/>
          <w:jc w:val="center"/>
        </w:trPr>
        <w:tc>
          <w:tcPr>
            <w:tcW w:w="675" w:type="dxa"/>
            <w:vAlign w:val="center"/>
          </w:tcPr>
          <w:p>
            <w:pPr>
              <w:pStyle w:val="19"/>
              <w:numPr>
                <w:ilvl w:val="0"/>
                <w:numId w:val="9"/>
              </w:numPr>
              <w:spacing w:line="360" w:lineRule="auto"/>
              <w:ind w:left="577" w:hanging="157" w:firstLineChars="0"/>
              <w:jc w:val="center"/>
              <w:rPr>
                <w:rFonts w:hint="eastAsia" w:ascii="宋体" w:hAnsi="宋体" w:cs="宋体"/>
                <w:color w:val="000000"/>
                <w:szCs w:val="21"/>
              </w:rPr>
            </w:pPr>
          </w:p>
        </w:tc>
        <w:tc>
          <w:tcPr>
            <w:tcW w:w="2465" w:type="dxa"/>
            <w:vAlign w:val="center"/>
          </w:tcPr>
          <w:p>
            <w:pPr>
              <w:spacing w:line="360" w:lineRule="auto"/>
              <w:jc w:val="center"/>
              <w:rPr>
                <w:rFonts w:hint="eastAsia" w:ascii="宋体" w:hAnsi="宋体" w:cs="宋体"/>
                <w:color w:val="000000"/>
                <w:szCs w:val="21"/>
              </w:rPr>
            </w:pPr>
            <w:r>
              <w:rPr>
                <w:rFonts w:hint="eastAsia" w:ascii="宋体" w:hAnsi="宋体" w:cs="宋体"/>
                <w:color w:val="000000"/>
                <w:szCs w:val="21"/>
              </w:rPr>
              <w:t>料仓储存</w:t>
            </w:r>
            <w:r>
              <w:rPr>
                <w:rFonts w:ascii="宋体" w:hAnsi="宋体" w:cs="宋体"/>
                <w:color w:val="000000"/>
                <w:szCs w:val="21"/>
              </w:rPr>
              <w:t>能力</w:t>
            </w:r>
            <w:r>
              <w:rPr>
                <w:rFonts w:hint="eastAsia" w:ascii="宋体" w:hAnsi="宋体" w:cs="宋体"/>
                <w:color w:val="000000"/>
                <w:szCs w:val="21"/>
              </w:rPr>
              <w:t>（单台）</w:t>
            </w:r>
          </w:p>
        </w:tc>
        <w:tc>
          <w:tcPr>
            <w:tcW w:w="1807" w:type="dxa"/>
            <w:vAlign w:val="center"/>
          </w:tcPr>
          <w:p>
            <w:pPr>
              <w:spacing w:line="360" w:lineRule="auto"/>
              <w:jc w:val="center"/>
              <w:rPr>
                <w:rFonts w:hint="eastAsia" w:ascii="宋体" w:hAnsi="宋体" w:cs="宋体"/>
                <w:color w:val="000000"/>
                <w:szCs w:val="21"/>
              </w:rPr>
            </w:pPr>
            <w:r>
              <w:rPr>
                <w:rFonts w:hint="eastAsia" w:ascii="宋体" w:hAnsi="宋体"/>
                <w:szCs w:val="21"/>
              </w:rPr>
              <w:t>m</w:t>
            </w:r>
            <w:r>
              <w:rPr>
                <w:rFonts w:hint="eastAsia" w:ascii="宋体" w:hAnsi="宋体"/>
                <w:szCs w:val="21"/>
                <w:vertAlign w:val="superscript"/>
              </w:rPr>
              <w:t>3</w:t>
            </w:r>
          </w:p>
        </w:tc>
        <w:tc>
          <w:tcPr>
            <w:tcW w:w="1559" w:type="dxa"/>
            <w:vAlign w:val="center"/>
          </w:tcPr>
          <w:p>
            <w:pPr>
              <w:spacing w:line="360" w:lineRule="auto"/>
              <w:jc w:val="center"/>
              <w:rPr>
                <w:rFonts w:hint="eastAsia" w:ascii="宋体" w:hAnsi="宋体" w:cs="宋体"/>
                <w:color w:val="000000"/>
                <w:szCs w:val="21"/>
              </w:rPr>
            </w:pPr>
            <w:r>
              <w:rPr>
                <w:rFonts w:hint="eastAsia" w:ascii="宋体" w:hAnsi="宋体" w:cs="宋体"/>
                <w:color w:val="000000"/>
                <w:szCs w:val="21"/>
              </w:rPr>
              <w:t>≥38</w:t>
            </w:r>
          </w:p>
        </w:tc>
        <w:tc>
          <w:tcPr>
            <w:tcW w:w="2126" w:type="dxa"/>
            <w:vAlign w:val="center"/>
          </w:tcPr>
          <w:p>
            <w:pPr>
              <w:spacing w:line="360" w:lineRule="auto"/>
              <w:jc w:val="center"/>
              <w:rPr>
                <w:rFonts w:hint="eastAsia" w:ascii="宋体" w:hAnsi="宋体" w:cs="宋体"/>
                <w:color w:val="000000"/>
                <w:szCs w:val="21"/>
              </w:rPr>
            </w:pPr>
            <w:r>
              <w:rPr>
                <w:rFonts w:hint="eastAsia" w:ascii="宋体" w:hAnsi="宋体" w:cs="宋体"/>
                <w:color w:val="000000"/>
                <w:szCs w:val="21"/>
              </w:rPr>
              <w:t>有效装料</w:t>
            </w:r>
            <w:r>
              <w:rPr>
                <w:rFonts w:ascii="宋体" w:hAnsi="宋体" w:cs="宋体"/>
                <w:color w:val="000000"/>
                <w:szCs w:val="21"/>
              </w:rPr>
              <w:t>能力</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44" w:hRule="atLeast"/>
          <w:jc w:val="center"/>
        </w:trPr>
        <w:tc>
          <w:tcPr>
            <w:tcW w:w="675" w:type="dxa"/>
            <w:vAlign w:val="center"/>
          </w:tcPr>
          <w:p>
            <w:pPr>
              <w:pStyle w:val="19"/>
              <w:numPr>
                <w:ilvl w:val="0"/>
                <w:numId w:val="9"/>
              </w:numPr>
              <w:spacing w:line="360" w:lineRule="auto"/>
              <w:ind w:left="577" w:hanging="157" w:firstLineChars="0"/>
              <w:jc w:val="center"/>
              <w:rPr>
                <w:rFonts w:hint="eastAsia" w:ascii="宋体" w:hAnsi="宋体" w:cs="宋体"/>
                <w:color w:val="000000"/>
                <w:szCs w:val="21"/>
              </w:rPr>
            </w:pPr>
          </w:p>
        </w:tc>
        <w:tc>
          <w:tcPr>
            <w:tcW w:w="2465" w:type="dxa"/>
            <w:vAlign w:val="center"/>
          </w:tcPr>
          <w:p>
            <w:pPr>
              <w:spacing w:line="360" w:lineRule="auto"/>
              <w:jc w:val="center"/>
              <w:rPr>
                <w:rFonts w:hint="eastAsia" w:ascii="宋体" w:hAnsi="宋体" w:cs="宋体"/>
                <w:color w:val="000000"/>
                <w:szCs w:val="21"/>
              </w:rPr>
            </w:pPr>
            <w:r>
              <w:rPr>
                <w:rFonts w:hint="eastAsia" w:ascii="宋体" w:hAnsi="宋体" w:cs="宋体"/>
                <w:color w:val="000000"/>
                <w:szCs w:val="21"/>
              </w:rPr>
              <w:t>料仓</w:t>
            </w:r>
            <w:r>
              <w:rPr>
                <w:rFonts w:ascii="宋体" w:hAnsi="宋体" w:cs="宋体"/>
                <w:color w:val="000000"/>
                <w:szCs w:val="21"/>
              </w:rPr>
              <w:t>排</w:t>
            </w:r>
            <w:r>
              <w:rPr>
                <w:rFonts w:hint="eastAsia" w:ascii="宋体" w:hAnsi="宋体" w:cs="宋体"/>
                <w:color w:val="000000"/>
                <w:szCs w:val="21"/>
              </w:rPr>
              <w:t>料</w:t>
            </w:r>
            <w:r>
              <w:rPr>
                <w:rFonts w:ascii="宋体" w:hAnsi="宋体" w:cs="宋体"/>
                <w:color w:val="000000"/>
                <w:szCs w:val="21"/>
              </w:rPr>
              <w:t>能力</w:t>
            </w:r>
          </w:p>
        </w:tc>
        <w:tc>
          <w:tcPr>
            <w:tcW w:w="1807" w:type="dxa"/>
            <w:vAlign w:val="center"/>
          </w:tcPr>
          <w:p>
            <w:pPr>
              <w:spacing w:line="360" w:lineRule="auto"/>
              <w:jc w:val="center"/>
              <w:rPr>
                <w:rFonts w:hint="eastAsia" w:ascii="宋体" w:hAnsi="宋体"/>
                <w:szCs w:val="21"/>
              </w:rPr>
            </w:pPr>
            <w:r>
              <w:rPr>
                <w:rFonts w:hint="eastAsia" w:ascii="宋体" w:hAnsi="宋体"/>
                <w:szCs w:val="21"/>
              </w:rPr>
              <w:t>m</w:t>
            </w:r>
            <w:r>
              <w:rPr>
                <w:rFonts w:hint="eastAsia" w:ascii="宋体" w:hAnsi="宋体"/>
                <w:szCs w:val="21"/>
                <w:vertAlign w:val="superscript"/>
              </w:rPr>
              <w:t>3</w:t>
            </w:r>
            <w:r>
              <w:rPr>
                <w:rFonts w:hint="eastAsia" w:ascii="宋体" w:hAnsi="宋体"/>
                <w:szCs w:val="21"/>
              </w:rPr>
              <w:t>/h</w:t>
            </w:r>
          </w:p>
        </w:tc>
        <w:tc>
          <w:tcPr>
            <w:tcW w:w="1559" w:type="dxa"/>
            <w:vAlign w:val="center"/>
          </w:tcPr>
          <w:p>
            <w:pPr>
              <w:spacing w:line="360" w:lineRule="auto"/>
              <w:jc w:val="center"/>
              <w:rPr>
                <w:rFonts w:hint="eastAsia" w:ascii="宋体" w:hAnsi="宋体" w:cs="宋体"/>
                <w:color w:val="000000"/>
                <w:szCs w:val="21"/>
              </w:rPr>
            </w:pPr>
            <w:r>
              <w:rPr>
                <w:rFonts w:ascii="宋体" w:hAnsi="宋体" w:cs="宋体"/>
                <w:color w:val="000000"/>
                <w:szCs w:val="21"/>
              </w:rPr>
              <w:t>20</w:t>
            </w:r>
            <w:r>
              <w:rPr>
                <w:rFonts w:hint="eastAsia" w:ascii="宋体" w:hAnsi="宋体" w:cs="宋体"/>
                <w:color w:val="000000"/>
                <w:szCs w:val="21"/>
              </w:rPr>
              <w:t>0</w:t>
            </w:r>
          </w:p>
        </w:tc>
        <w:tc>
          <w:tcPr>
            <w:tcW w:w="2126" w:type="dxa"/>
            <w:vAlign w:val="center"/>
          </w:tcPr>
          <w:p>
            <w:pPr>
              <w:spacing w:line="360" w:lineRule="auto"/>
              <w:jc w:val="center"/>
              <w:rPr>
                <w:rFonts w:hint="eastAsia" w:ascii="宋体" w:hAnsi="宋体" w:cs="宋体"/>
                <w:color w:val="000000"/>
                <w:szCs w:val="21"/>
              </w:rPr>
            </w:pPr>
            <w:r>
              <w:rPr>
                <w:rFonts w:hint="eastAsia" w:ascii="宋体" w:hAnsi="宋体" w:cs="宋体"/>
                <w:color w:val="000000"/>
                <w:szCs w:val="21"/>
              </w:rPr>
              <w:t>单</w:t>
            </w:r>
            <w:r>
              <w:rPr>
                <w:rFonts w:ascii="宋体" w:hAnsi="宋体" w:cs="宋体"/>
                <w:color w:val="000000"/>
                <w:szCs w:val="21"/>
              </w:rPr>
              <w:t>个排</w:t>
            </w:r>
            <w:r>
              <w:rPr>
                <w:rFonts w:hint="eastAsia" w:ascii="宋体" w:hAnsi="宋体" w:cs="宋体"/>
                <w:color w:val="000000"/>
                <w:szCs w:val="21"/>
              </w:rPr>
              <w:t>料</w:t>
            </w:r>
            <w:r>
              <w:rPr>
                <w:rFonts w:ascii="宋体" w:hAnsi="宋体" w:cs="宋体"/>
                <w:color w:val="000000"/>
                <w:szCs w:val="21"/>
              </w:rPr>
              <w:t>口</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44" w:hRule="atLeast"/>
          <w:jc w:val="center"/>
        </w:trPr>
        <w:tc>
          <w:tcPr>
            <w:tcW w:w="675" w:type="dxa"/>
            <w:vAlign w:val="center"/>
          </w:tcPr>
          <w:p>
            <w:pPr>
              <w:pStyle w:val="19"/>
              <w:numPr>
                <w:ilvl w:val="0"/>
                <w:numId w:val="9"/>
              </w:numPr>
              <w:spacing w:line="360" w:lineRule="auto"/>
              <w:ind w:left="577" w:hanging="157" w:firstLineChars="0"/>
              <w:jc w:val="center"/>
              <w:rPr>
                <w:rFonts w:hint="eastAsia" w:ascii="宋体" w:hAnsi="宋体" w:cs="宋体"/>
                <w:color w:val="000000"/>
                <w:szCs w:val="21"/>
              </w:rPr>
            </w:pPr>
          </w:p>
        </w:tc>
        <w:tc>
          <w:tcPr>
            <w:tcW w:w="2465" w:type="dxa"/>
            <w:vAlign w:val="center"/>
          </w:tcPr>
          <w:p>
            <w:pPr>
              <w:spacing w:line="360" w:lineRule="auto"/>
              <w:jc w:val="center"/>
              <w:rPr>
                <w:rFonts w:hint="eastAsia" w:ascii="宋体" w:hAnsi="宋体" w:cs="宋体"/>
                <w:color w:val="000000"/>
                <w:szCs w:val="21"/>
              </w:rPr>
            </w:pPr>
            <w:r>
              <w:rPr>
                <w:rFonts w:hint="eastAsia" w:ascii="宋体" w:hAnsi="宋体" w:cs="宋体"/>
                <w:color w:val="000000"/>
                <w:szCs w:val="21"/>
              </w:rPr>
              <w:t>卸料</w:t>
            </w:r>
            <w:r>
              <w:rPr>
                <w:rFonts w:ascii="宋体" w:hAnsi="宋体" w:cs="宋体"/>
                <w:color w:val="000000"/>
                <w:szCs w:val="21"/>
              </w:rPr>
              <w:t>高度</w:t>
            </w:r>
          </w:p>
        </w:tc>
        <w:tc>
          <w:tcPr>
            <w:tcW w:w="1807" w:type="dxa"/>
            <w:vAlign w:val="center"/>
          </w:tcPr>
          <w:p>
            <w:pPr>
              <w:spacing w:line="360" w:lineRule="auto"/>
              <w:jc w:val="center"/>
              <w:rPr>
                <w:rFonts w:hint="eastAsia" w:ascii="宋体" w:hAnsi="宋体" w:cs="宋体"/>
                <w:color w:val="000000"/>
                <w:szCs w:val="21"/>
              </w:rPr>
            </w:pPr>
            <w:r>
              <w:rPr>
                <w:rFonts w:ascii="宋体" w:hAnsi="宋体" w:cs="宋体"/>
                <w:color w:val="000000"/>
                <w:szCs w:val="21"/>
              </w:rPr>
              <w:t>m</w:t>
            </w:r>
          </w:p>
        </w:tc>
        <w:tc>
          <w:tcPr>
            <w:tcW w:w="1559" w:type="dxa"/>
            <w:vAlign w:val="center"/>
          </w:tcPr>
          <w:p>
            <w:pPr>
              <w:spacing w:line="360" w:lineRule="auto"/>
              <w:jc w:val="center"/>
              <w:rPr>
                <w:rFonts w:hint="eastAsia" w:ascii="宋体" w:hAnsi="宋体" w:cs="宋体"/>
                <w:color w:val="000000"/>
                <w:szCs w:val="21"/>
              </w:rPr>
            </w:pPr>
            <w:r>
              <w:rPr>
                <w:rFonts w:hint="eastAsia" w:ascii="宋体" w:hAnsi="宋体" w:cs="宋体"/>
                <w:color w:val="000000"/>
                <w:szCs w:val="21"/>
              </w:rPr>
              <w:t>4</w:t>
            </w:r>
            <w:r>
              <w:rPr>
                <w:rFonts w:ascii="宋体" w:hAnsi="宋体" w:cs="宋体"/>
                <w:color w:val="000000"/>
                <w:szCs w:val="21"/>
              </w:rPr>
              <w:t>.2</w:t>
            </w:r>
          </w:p>
        </w:tc>
        <w:tc>
          <w:tcPr>
            <w:tcW w:w="2126" w:type="dxa"/>
            <w:vAlign w:val="center"/>
          </w:tcPr>
          <w:p>
            <w:pPr>
              <w:spacing w:line="360" w:lineRule="auto"/>
              <w:jc w:val="center"/>
              <w:rPr>
                <w:rFonts w:hint="eastAsia" w:ascii="宋体" w:hAnsi="宋体" w:cs="宋体"/>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44" w:hRule="atLeast"/>
          <w:jc w:val="center"/>
        </w:trPr>
        <w:tc>
          <w:tcPr>
            <w:tcW w:w="675" w:type="dxa"/>
            <w:vAlign w:val="center"/>
          </w:tcPr>
          <w:p>
            <w:pPr>
              <w:pStyle w:val="19"/>
              <w:numPr>
                <w:ilvl w:val="0"/>
                <w:numId w:val="9"/>
              </w:numPr>
              <w:spacing w:line="360" w:lineRule="auto"/>
              <w:ind w:left="577" w:hanging="157" w:firstLineChars="0"/>
              <w:jc w:val="center"/>
              <w:rPr>
                <w:rFonts w:hint="eastAsia" w:ascii="宋体" w:hAnsi="宋体" w:cs="宋体"/>
                <w:color w:val="000000"/>
                <w:szCs w:val="21"/>
              </w:rPr>
            </w:pPr>
          </w:p>
        </w:tc>
        <w:tc>
          <w:tcPr>
            <w:tcW w:w="2465" w:type="dxa"/>
            <w:vAlign w:val="center"/>
          </w:tcPr>
          <w:p>
            <w:pPr>
              <w:spacing w:line="360" w:lineRule="auto"/>
              <w:jc w:val="center"/>
              <w:rPr>
                <w:rFonts w:hint="eastAsia" w:ascii="宋体" w:hAnsi="宋体" w:cs="宋体"/>
                <w:color w:val="000000"/>
                <w:szCs w:val="21"/>
              </w:rPr>
            </w:pPr>
            <w:r>
              <w:rPr>
                <w:rFonts w:hint="eastAsia" w:ascii="宋体" w:hAnsi="宋体" w:cs="宋体"/>
                <w:color w:val="000000"/>
                <w:szCs w:val="21"/>
              </w:rPr>
              <w:t>工</w:t>
            </w:r>
            <w:r>
              <w:rPr>
                <w:rFonts w:ascii="宋体" w:hAnsi="宋体" w:cs="宋体"/>
                <w:color w:val="000000"/>
                <w:szCs w:val="21"/>
              </w:rPr>
              <w:t>作制度</w:t>
            </w:r>
          </w:p>
        </w:tc>
        <w:tc>
          <w:tcPr>
            <w:tcW w:w="1807" w:type="dxa"/>
            <w:vAlign w:val="center"/>
          </w:tcPr>
          <w:p>
            <w:pPr>
              <w:spacing w:line="360" w:lineRule="auto"/>
              <w:jc w:val="center"/>
              <w:rPr>
                <w:rFonts w:hint="eastAsia" w:ascii="宋体" w:hAnsi="宋体" w:cs="宋体"/>
                <w:color w:val="000000"/>
                <w:szCs w:val="21"/>
              </w:rPr>
            </w:pPr>
            <w:r>
              <w:rPr>
                <w:rFonts w:hint="eastAsia" w:ascii="宋体" w:hAnsi="宋体" w:cs="宋体"/>
                <w:color w:val="000000"/>
                <w:szCs w:val="21"/>
              </w:rPr>
              <w:t>小时</w:t>
            </w:r>
            <w:r>
              <w:rPr>
                <w:rFonts w:ascii="宋体" w:hAnsi="宋体" w:cs="宋体"/>
                <w:color w:val="000000"/>
                <w:szCs w:val="21"/>
              </w:rPr>
              <w:t>/</w:t>
            </w:r>
            <w:r>
              <w:rPr>
                <w:rFonts w:hint="eastAsia" w:ascii="宋体" w:hAnsi="宋体" w:cs="宋体"/>
                <w:color w:val="000000"/>
                <w:szCs w:val="21"/>
              </w:rPr>
              <w:t>天</w:t>
            </w:r>
          </w:p>
        </w:tc>
        <w:tc>
          <w:tcPr>
            <w:tcW w:w="1559" w:type="dxa"/>
            <w:vAlign w:val="center"/>
          </w:tcPr>
          <w:p>
            <w:pPr>
              <w:spacing w:line="360" w:lineRule="auto"/>
              <w:jc w:val="center"/>
              <w:rPr>
                <w:rFonts w:hint="eastAsia" w:ascii="宋体" w:hAnsi="宋体" w:cs="宋体"/>
                <w:color w:val="000000"/>
                <w:szCs w:val="21"/>
              </w:rPr>
            </w:pPr>
            <w:r>
              <w:rPr>
                <w:rFonts w:ascii="宋体" w:hAnsi="宋体" w:cs="宋体"/>
                <w:color w:val="000000"/>
                <w:szCs w:val="21"/>
              </w:rPr>
              <w:t>≤2</w:t>
            </w:r>
            <w:r>
              <w:rPr>
                <w:rFonts w:hint="eastAsia" w:ascii="宋体" w:hAnsi="宋体" w:cs="宋体"/>
                <w:color w:val="000000"/>
                <w:szCs w:val="21"/>
              </w:rPr>
              <w:t>4</w:t>
            </w:r>
          </w:p>
        </w:tc>
        <w:tc>
          <w:tcPr>
            <w:tcW w:w="2126" w:type="dxa"/>
            <w:vAlign w:val="center"/>
          </w:tcPr>
          <w:p>
            <w:pPr>
              <w:spacing w:line="360" w:lineRule="auto"/>
              <w:jc w:val="center"/>
              <w:rPr>
                <w:rFonts w:hint="eastAsia" w:ascii="宋体" w:hAnsi="宋体" w:cs="宋体"/>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44" w:hRule="atLeast"/>
          <w:jc w:val="center"/>
        </w:trPr>
        <w:tc>
          <w:tcPr>
            <w:tcW w:w="675" w:type="dxa"/>
            <w:vAlign w:val="center"/>
          </w:tcPr>
          <w:p>
            <w:pPr>
              <w:pStyle w:val="19"/>
              <w:numPr>
                <w:ilvl w:val="0"/>
                <w:numId w:val="9"/>
              </w:numPr>
              <w:spacing w:line="360" w:lineRule="auto"/>
              <w:ind w:left="577" w:hanging="157" w:firstLineChars="0"/>
              <w:jc w:val="center"/>
              <w:rPr>
                <w:rFonts w:hint="eastAsia" w:ascii="宋体" w:hAnsi="宋体" w:cs="宋体"/>
                <w:color w:val="000000"/>
                <w:szCs w:val="21"/>
              </w:rPr>
            </w:pPr>
          </w:p>
        </w:tc>
        <w:tc>
          <w:tcPr>
            <w:tcW w:w="7957" w:type="dxa"/>
            <w:gridSpan w:val="4"/>
            <w:vAlign w:val="center"/>
          </w:tcPr>
          <w:p>
            <w:pPr>
              <w:spacing w:line="360" w:lineRule="auto"/>
              <w:jc w:val="left"/>
              <w:rPr>
                <w:rFonts w:hint="eastAsia" w:ascii="宋体" w:hAnsi="宋体" w:cs="宋体"/>
                <w:color w:val="000000"/>
                <w:szCs w:val="21"/>
              </w:rPr>
            </w:pPr>
            <w:r>
              <w:rPr>
                <w:rFonts w:hint="eastAsia" w:ascii="宋体" w:hAnsi="宋体" w:cs="宋体"/>
                <w:color w:val="000000"/>
                <w:szCs w:val="21"/>
                <w:highlight w:val="yellow"/>
              </w:rPr>
              <w:t>螺旋</w:t>
            </w:r>
            <w:r>
              <w:rPr>
                <w:rFonts w:ascii="宋体" w:hAnsi="宋体" w:cs="宋体"/>
                <w:color w:val="000000"/>
                <w:szCs w:val="21"/>
                <w:highlight w:val="yellow"/>
              </w:rPr>
              <w:t>输送机输送顺畅,无卡阻,无异响,可将</w:t>
            </w:r>
            <w:r>
              <w:rPr>
                <w:rFonts w:hint="eastAsia" w:ascii="宋体" w:hAnsi="宋体" w:cs="宋体"/>
                <w:color w:val="000000"/>
                <w:szCs w:val="21"/>
                <w:highlight w:val="yellow"/>
              </w:rPr>
              <w:t>物料</w:t>
            </w:r>
            <w:r>
              <w:rPr>
                <w:rFonts w:ascii="宋体" w:hAnsi="宋体" w:cs="宋体"/>
                <w:color w:val="000000"/>
                <w:szCs w:val="21"/>
                <w:highlight w:val="yellow"/>
              </w:rPr>
              <w:t>输送至各</w:t>
            </w:r>
            <w:r>
              <w:rPr>
                <w:rFonts w:hint="eastAsia" w:ascii="宋体" w:hAnsi="宋体" w:cs="宋体"/>
                <w:color w:val="000000"/>
                <w:szCs w:val="21"/>
                <w:highlight w:val="yellow"/>
              </w:rPr>
              <w:t>输送</w:t>
            </w:r>
            <w:r>
              <w:rPr>
                <w:rFonts w:ascii="宋体" w:hAnsi="宋体" w:cs="宋体"/>
                <w:color w:val="000000"/>
                <w:szCs w:val="21"/>
                <w:highlight w:val="yellow"/>
              </w:rPr>
              <w:t>出口</w:t>
            </w:r>
            <w:r>
              <w:rPr>
                <w:rFonts w:hint="eastAsia" w:ascii="宋体" w:hAnsi="宋体" w:cs="宋体"/>
                <w:color w:val="000000"/>
                <w:szCs w:val="21"/>
                <w:highlight w:val="yellow"/>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44" w:hRule="atLeast"/>
          <w:jc w:val="center"/>
        </w:trPr>
        <w:tc>
          <w:tcPr>
            <w:tcW w:w="675" w:type="dxa"/>
            <w:vAlign w:val="center"/>
          </w:tcPr>
          <w:p>
            <w:pPr>
              <w:pStyle w:val="19"/>
              <w:numPr>
                <w:ilvl w:val="0"/>
                <w:numId w:val="9"/>
              </w:numPr>
              <w:spacing w:line="360" w:lineRule="auto"/>
              <w:ind w:left="577" w:hanging="157" w:firstLineChars="0"/>
              <w:jc w:val="center"/>
              <w:rPr>
                <w:rFonts w:hint="eastAsia" w:ascii="宋体" w:hAnsi="宋体" w:cs="宋体"/>
                <w:color w:val="000000"/>
                <w:szCs w:val="21"/>
              </w:rPr>
            </w:pPr>
          </w:p>
        </w:tc>
        <w:tc>
          <w:tcPr>
            <w:tcW w:w="7957" w:type="dxa"/>
            <w:gridSpan w:val="4"/>
            <w:vAlign w:val="center"/>
          </w:tcPr>
          <w:p>
            <w:pPr>
              <w:spacing w:line="360" w:lineRule="auto"/>
              <w:jc w:val="left"/>
              <w:rPr>
                <w:rFonts w:hint="eastAsia" w:ascii="宋体" w:hAnsi="宋体" w:cs="宋体"/>
                <w:color w:val="000000"/>
                <w:szCs w:val="21"/>
              </w:rPr>
            </w:pPr>
            <w:r>
              <w:rPr>
                <w:rFonts w:hint="eastAsia" w:ascii="宋体" w:hAnsi="宋体" w:cs="宋体"/>
                <w:color w:val="000000"/>
                <w:szCs w:val="21"/>
              </w:rPr>
              <w:t>沼渣</w:t>
            </w:r>
            <w:r>
              <w:rPr>
                <w:rFonts w:ascii="宋体" w:hAnsi="宋体" w:cs="宋体"/>
                <w:color w:val="000000"/>
                <w:szCs w:val="21"/>
              </w:rPr>
              <w:t>斗</w:t>
            </w:r>
            <w:r>
              <w:rPr>
                <w:rFonts w:hint="eastAsia" w:ascii="宋体" w:hAnsi="宋体" w:cs="宋体"/>
                <w:color w:val="000000"/>
                <w:szCs w:val="21"/>
              </w:rPr>
              <w:t>装储物料均匀</w:t>
            </w:r>
            <w:r>
              <w:rPr>
                <w:rFonts w:ascii="宋体" w:hAnsi="宋体" w:cs="宋体"/>
                <w:color w:val="000000"/>
                <w:szCs w:val="21"/>
              </w:rPr>
              <w:t>，无</w:t>
            </w:r>
            <w:r>
              <w:rPr>
                <w:rFonts w:hint="eastAsia" w:ascii="宋体" w:hAnsi="宋体" w:cs="宋体"/>
                <w:color w:val="000000"/>
                <w:szCs w:val="21"/>
              </w:rPr>
              <w:t>死</w:t>
            </w:r>
            <w:r>
              <w:rPr>
                <w:rFonts w:ascii="宋体" w:hAnsi="宋体" w:cs="宋体"/>
                <w:color w:val="000000"/>
                <w:szCs w:val="21"/>
              </w:rPr>
              <w:t>角，无架桥</w:t>
            </w:r>
            <w:r>
              <w:rPr>
                <w:rFonts w:hint="eastAsia" w:ascii="宋体" w:hAnsi="宋体" w:cs="宋体"/>
                <w:color w:val="000000"/>
                <w:szCs w:val="21"/>
              </w:rPr>
              <w:t>，</w:t>
            </w:r>
            <w:r>
              <w:rPr>
                <w:rFonts w:ascii="宋体" w:hAnsi="宋体" w:cs="宋体"/>
                <w:color w:val="000000"/>
                <w:szCs w:val="21"/>
              </w:rPr>
              <w:t>储存及排</w:t>
            </w:r>
            <w:r>
              <w:rPr>
                <w:rFonts w:hint="eastAsia" w:ascii="宋体" w:hAnsi="宋体" w:cs="宋体"/>
                <w:color w:val="000000"/>
                <w:szCs w:val="21"/>
              </w:rPr>
              <w:t>料、</w:t>
            </w:r>
            <w:r>
              <w:rPr>
                <w:rFonts w:ascii="宋体" w:hAnsi="宋体" w:cs="宋体"/>
                <w:color w:val="000000"/>
                <w:szCs w:val="21"/>
              </w:rPr>
              <w:t>闭合顺畅</w:t>
            </w:r>
            <w:r>
              <w:rPr>
                <w:rFonts w:ascii="宋体" w:hAnsi="宋体" w:cs="宋体"/>
                <w:b/>
                <w:color w:val="FF0000"/>
                <w:szCs w:val="21"/>
              </w:rPr>
              <w:t>；</w:t>
            </w:r>
          </w:p>
        </w:tc>
      </w:tr>
    </w:tbl>
    <w:p>
      <w:pPr>
        <w:pStyle w:val="13"/>
        <w:numPr>
          <w:ilvl w:val="0"/>
          <w:numId w:val="1"/>
        </w:numPr>
        <w:jc w:val="left"/>
        <w:rPr>
          <w:sz w:val="28"/>
          <w:szCs w:val="28"/>
        </w:rPr>
      </w:pPr>
      <w:r>
        <w:rPr>
          <w:rFonts w:hint="eastAsia"/>
          <w:sz w:val="28"/>
          <w:szCs w:val="28"/>
        </w:rPr>
        <w:t>设计与制造</w:t>
      </w:r>
    </w:p>
    <w:p>
      <w:pPr>
        <w:autoSpaceDE w:val="0"/>
        <w:autoSpaceDN w:val="0"/>
        <w:adjustRightInd w:val="0"/>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1.乙方所供设备适用于各对应车间输送系统，甲方提资图为基本结构参数，由乙方进行详细设计及制造，提资图中的设计</w:t>
      </w:r>
      <w:r>
        <w:rPr>
          <w:rFonts w:asciiTheme="minorEastAsia" w:hAnsiTheme="minorEastAsia" w:eastAsiaTheme="minorEastAsia" w:cstheme="minorEastAsia"/>
          <w:sz w:val="24"/>
          <w:szCs w:val="24"/>
        </w:rPr>
        <w:t>提资基本参数为验收参数</w:t>
      </w:r>
      <w:r>
        <w:rPr>
          <w:rFonts w:hint="eastAsia" w:asciiTheme="minorEastAsia" w:hAnsiTheme="minorEastAsia" w:eastAsiaTheme="minorEastAsia" w:cstheme="minorEastAsia"/>
          <w:sz w:val="24"/>
          <w:szCs w:val="24"/>
        </w:rPr>
        <w:t>，乙方不得擅自变更图中的壁厚、材质、基本尺寸，除非征得甲方同意。乙方对该所有设备的质量</w:t>
      </w:r>
      <w:r>
        <w:rPr>
          <w:rFonts w:asciiTheme="minorEastAsia" w:hAnsiTheme="minorEastAsia" w:eastAsiaTheme="minorEastAsia" w:cstheme="minorEastAsia"/>
          <w:sz w:val="24"/>
          <w:szCs w:val="24"/>
        </w:rPr>
        <w:t>和性能</w:t>
      </w:r>
      <w:r>
        <w:rPr>
          <w:rFonts w:hint="eastAsia" w:asciiTheme="minorEastAsia" w:hAnsiTheme="minorEastAsia" w:eastAsiaTheme="minorEastAsia" w:cstheme="minorEastAsia"/>
          <w:sz w:val="24"/>
          <w:szCs w:val="24"/>
        </w:rPr>
        <w:t>负责及对质保期的售后保修服务负责；</w:t>
      </w:r>
    </w:p>
    <w:p>
      <w:pPr>
        <w:numPr>
          <w:ilvl w:val="255"/>
          <w:numId w:val="0"/>
        </w:numPr>
        <w:autoSpaceDE w:val="0"/>
        <w:autoSpaceDN w:val="0"/>
        <w:adjustRightInd w:val="0"/>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2.乙方对所供设备及辅件进行设计、制造，并在合同双方约定的期限内将生产用技术图纸等资料交甲方审</w:t>
      </w:r>
      <w:r>
        <w:rPr>
          <w:rFonts w:hint="eastAsia" w:ascii="宋体" w:hAnsi="宋体"/>
          <w:sz w:val="24"/>
          <w:szCs w:val="24"/>
        </w:rPr>
        <w:t>查</w:t>
      </w:r>
      <w:r>
        <w:rPr>
          <w:rFonts w:hint="eastAsia" w:asciiTheme="minorEastAsia" w:hAnsiTheme="minorEastAsia" w:eastAsiaTheme="minorEastAsia" w:cstheme="minorEastAsia"/>
          <w:sz w:val="24"/>
          <w:szCs w:val="24"/>
        </w:rPr>
        <w:t>，乙方确保该批设备及辅件能稳定可靠运行；</w:t>
      </w:r>
      <w:r>
        <w:rPr>
          <w:rFonts w:hint="eastAsia" w:ascii="宋体" w:hAnsi="宋体"/>
          <w:sz w:val="24"/>
          <w:szCs w:val="24"/>
        </w:rPr>
        <w:t>甲方对设计资料的审查并不能减轻或免除乙方在本合同项下的所有责任。</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乙方负责设备出厂前的组装、料仓拼装、螺旋运转等测试工作，并向甲方提供测试报告及测试过程的图片、视频等资料；出厂前做到整体拼装无误，外形尺寸正确，配合尺寸正确，并按设备需求试机；</w:t>
      </w:r>
    </w:p>
    <w:p>
      <w:pPr>
        <w:spacing w:line="360" w:lineRule="auto"/>
        <w:ind w:firstLine="480" w:firstLineChars="200"/>
        <w:rPr>
          <w:rFonts w:hint="eastAsia" w:ascii="宋体" w:hAnsi="宋体"/>
          <w:sz w:val="24"/>
        </w:rPr>
      </w:pPr>
      <w:r>
        <w:rPr>
          <w:rFonts w:hint="eastAsia" w:asciiTheme="minorEastAsia" w:hAnsiTheme="minorEastAsia" w:eastAsiaTheme="minorEastAsia" w:cstheme="minorEastAsia"/>
          <w:sz w:val="24"/>
          <w:szCs w:val="24"/>
        </w:rPr>
        <w:t>4</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乙方负责现场设备安装、调试的技术指导，</w:t>
      </w:r>
      <w:r>
        <w:rPr>
          <w:rFonts w:hint="eastAsia" w:ascii="宋体" w:hAnsi="宋体" w:eastAsiaTheme="minorEastAsia"/>
          <w:sz w:val="24"/>
        </w:rPr>
        <w:t>派遣</w:t>
      </w:r>
      <w:r>
        <w:rPr>
          <w:rFonts w:hint="eastAsia" w:ascii="宋体" w:hAnsi="宋体"/>
          <w:sz w:val="24"/>
        </w:rPr>
        <w:t>负责人必须具有丰富施工经验具备相应能力的人员。并详细解释操作说明、系统维护方法及注意事项，并热忱回答业主方所关心的技术问题。</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5.乙方负责安装、调试、试生产过程中因乙方质量问题造成的所有整改，整改时间≤5天（含节假日）内达标运行。</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乙方必须确保该批设备及辅件（尤其是料仓部分），在甲方现场不需要使用特殊工装、夹具，采用通用设备、工具就能顺利进行组装拼接，单件装配体≤4800kg。</w:t>
      </w:r>
    </w:p>
    <w:p>
      <w:pPr>
        <w:widowControl/>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确保各螺旋输送设备物料输送顺畅无卡阻,螺旋运转顺畅无卡阻无异响；各设备结构强度可靠牢固；确保密封密闭，无跑冒滴漏；盖板均匀、折弯高度统一、边角倒圆、外观规整，运行工况无滴漏；便于检修、维护。</w:t>
      </w:r>
    </w:p>
    <w:p>
      <w:pPr>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8.设备颜色外观整齐统一美观；设备外部不允许有导致安全隐患的锐棱、锐角、飞边毛刺等，设备外露旋转部位必须有可靠符合相关标准的安全防护装置。</w:t>
      </w:r>
    </w:p>
    <w:p>
      <w:pPr>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9.零件、机壳、盖板、</w:t>
      </w:r>
      <w:r>
        <w:rPr>
          <w:rFonts w:asciiTheme="minorEastAsia" w:hAnsiTheme="minorEastAsia" w:eastAsiaTheme="minorEastAsia" w:cstheme="minorEastAsia"/>
          <w:sz w:val="24"/>
          <w:szCs w:val="24"/>
        </w:rPr>
        <w:t>法兰、筋条</w:t>
      </w:r>
      <w:r>
        <w:rPr>
          <w:rFonts w:hint="eastAsia" w:asciiTheme="minorEastAsia" w:hAnsiTheme="minorEastAsia" w:eastAsiaTheme="minorEastAsia" w:cstheme="minorEastAsia"/>
          <w:sz w:val="24"/>
          <w:szCs w:val="24"/>
        </w:rPr>
        <w:t>等不得采用火焰、等离子加工。须采用激光切割、锯床机加工或等同激光切割、锯床机加工的表面粗糙度。</w:t>
      </w:r>
    </w:p>
    <w:p>
      <w:pPr>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乙方每周五向甲方提供工期进度管控表，并报告本周施工进展及相关进展图片，进度资料发送到邮箱：</w:t>
      </w:r>
      <w:r>
        <w:rPr>
          <w:rFonts w:asciiTheme="minorEastAsia" w:hAnsiTheme="minorEastAsia" w:eastAsiaTheme="minorEastAsia" w:cstheme="minorEastAsia"/>
          <w:sz w:val="24"/>
          <w:szCs w:val="24"/>
          <w:u w:val="single"/>
        </w:rPr>
        <w:t xml:space="preserve">xujianglan@leoking.com和huangdedong@leoking.com </w:t>
      </w:r>
      <w:r>
        <w:rPr>
          <w:rFonts w:hint="eastAsia" w:asciiTheme="minorEastAsia" w:hAnsiTheme="minorEastAsia" w:eastAsiaTheme="minorEastAsia" w:cstheme="minorEastAsia"/>
          <w:sz w:val="24"/>
          <w:szCs w:val="24"/>
        </w:rPr>
        <w:t>。</w:t>
      </w:r>
    </w:p>
    <w:p>
      <w:pPr>
        <w:spacing w:line="360" w:lineRule="auto"/>
        <w:ind w:firstLine="480" w:firstLineChars="200"/>
        <w:jc w:val="left"/>
        <w:rPr>
          <w:rFonts w:hint="eastAsia" w:ascii="宋体" w:hAnsi="宋体"/>
          <w:sz w:val="24"/>
          <w:szCs w:val="24"/>
        </w:rPr>
      </w:pPr>
      <w:r>
        <w:rPr>
          <w:rFonts w:hint="eastAsia" w:asciiTheme="minorEastAsia" w:hAnsiTheme="minorEastAsia" w:eastAsiaTheme="minorEastAsia" w:cstheme="minorEastAsia"/>
          <w:sz w:val="24"/>
          <w:szCs w:val="24"/>
        </w:rPr>
        <w:t>11</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甲方有权驻厂</w:t>
      </w:r>
      <w:r>
        <w:rPr>
          <w:rFonts w:hint="eastAsia" w:ascii="宋体" w:hAnsi="宋体"/>
          <w:sz w:val="24"/>
        </w:rPr>
        <w:t>参与监制生产全过程。</w:t>
      </w:r>
      <w:r>
        <w:rPr>
          <w:rFonts w:hint="eastAsia" w:asciiTheme="minorEastAsia" w:hAnsiTheme="minorEastAsia" w:eastAsiaTheme="minorEastAsia" w:cstheme="minorEastAsia"/>
          <w:sz w:val="24"/>
          <w:szCs w:val="24"/>
        </w:rPr>
        <w:t>乙方提前一周邮件邀请甲方，通知制造过程重大时间节点，如材料进场、下料、拼装、组焊、装配、按使用现场整体拼装试机试水的监制。乙方需为甲方现场监制人员的食宿、交通提供便利。</w:t>
      </w:r>
      <w:r>
        <w:rPr>
          <w:rFonts w:hint="eastAsia" w:ascii="宋体" w:hAnsi="宋体"/>
          <w:sz w:val="24"/>
          <w:szCs w:val="24"/>
        </w:rPr>
        <w:t>甲方是否</w:t>
      </w:r>
      <w:r>
        <w:rPr>
          <w:rFonts w:hint="eastAsia" w:asciiTheme="minorEastAsia" w:hAnsiTheme="minorEastAsia" w:eastAsiaTheme="minorEastAsia" w:cstheme="minorEastAsia"/>
          <w:sz w:val="24"/>
          <w:szCs w:val="24"/>
        </w:rPr>
        <w:t>驻厂</w:t>
      </w:r>
      <w:r>
        <w:rPr>
          <w:rFonts w:hint="eastAsia" w:ascii="宋体" w:hAnsi="宋体"/>
          <w:sz w:val="24"/>
        </w:rPr>
        <w:t>监制</w:t>
      </w:r>
      <w:r>
        <w:rPr>
          <w:rFonts w:hint="eastAsia" w:ascii="宋体" w:hAnsi="宋体"/>
          <w:sz w:val="24"/>
          <w:szCs w:val="24"/>
        </w:rPr>
        <w:t>并不能减轻或免除乙方在本合同项下的所有责任。</w:t>
      </w:r>
    </w:p>
    <w:p>
      <w:pPr>
        <w:spacing w:line="360" w:lineRule="auto"/>
        <w:ind w:firstLine="480" w:firstLineChars="200"/>
        <w:jc w:val="left"/>
        <w:rPr>
          <w:rFonts w:hint="eastAsia" w:ascii="宋体" w:hAnsi="宋体" w:eastAsiaTheme="minorEastAsia"/>
          <w:sz w:val="24"/>
          <w:szCs w:val="24"/>
        </w:rPr>
      </w:pPr>
      <w:r>
        <w:rPr>
          <w:rFonts w:hint="eastAsia" w:ascii="宋体" w:hAnsi="宋体"/>
          <w:sz w:val="24"/>
          <w:szCs w:val="24"/>
        </w:rPr>
        <w:t>12.</w:t>
      </w:r>
      <w:r>
        <w:rPr>
          <w:rFonts w:hint="eastAsia" w:asciiTheme="minorEastAsia" w:hAnsiTheme="minorEastAsia" w:eastAsiaTheme="minorEastAsia" w:cstheme="minorEastAsia"/>
          <w:sz w:val="24"/>
          <w:szCs w:val="24"/>
        </w:rPr>
        <w:t>签订合同后，甲方有权根据使用要求对设计提资作相应调整，调整后通过现有通讯方式通知乙方，乙方收到调整通知后若未及时回复则视为同意调整；若乙方对调整有异议，则需与甲方沟通有效方案，直至满足甲方使用要求。</w:t>
      </w:r>
    </w:p>
    <w:p>
      <w:pPr>
        <w:pStyle w:val="13"/>
        <w:numPr>
          <w:ilvl w:val="0"/>
          <w:numId w:val="1"/>
        </w:numPr>
        <w:spacing w:line="360" w:lineRule="auto"/>
        <w:jc w:val="left"/>
        <w:rPr>
          <w:sz w:val="28"/>
          <w:szCs w:val="28"/>
        </w:rPr>
      </w:pPr>
      <w:r>
        <w:rPr>
          <w:rFonts w:hint="eastAsia"/>
          <w:sz w:val="28"/>
          <w:szCs w:val="28"/>
        </w:rPr>
        <w:t>技术要求</w:t>
      </w:r>
    </w:p>
    <w:p>
      <w:pPr>
        <w:pStyle w:val="5"/>
        <w:numPr>
          <w:ilvl w:val="3"/>
          <w:numId w:val="10"/>
        </w:numPr>
        <w:spacing w:before="0" w:after="0" w:line="360" w:lineRule="auto"/>
        <w:ind w:left="0" w:firstLine="0"/>
        <w:rPr>
          <w:rFonts w:hint="eastAsia" w:ascii="宋体" w:hAnsi="宋体"/>
          <w:bCs w:val="0"/>
          <w:sz w:val="24"/>
          <w:szCs w:val="24"/>
        </w:rPr>
      </w:pPr>
      <w:r>
        <w:rPr>
          <w:rFonts w:hint="eastAsia" w:ascii="宋体" w:hAnsi="宋体"/>
          <w:bCs w:val="0"/>
          <w:sz w:val="24"/>
          <w:szCs w:val="24"/>
        </w:rPr>
        <w:t xml:space="preserve"> </w:t>
      </w:r>
      <w:r>
        <w:rPr>
          <w:rFonts w:ascii="宋体" w:hAnsi="宋体"/>
          <w:bCs w:val="0"/>
          <w:sz w:val="24"/>
          <w:szCs w:val="24"/>
        </w:rPr>
        <w:t>通用技术要求</w:t>
      </w:r>
    </w:p>
    <w:p>
      <w:pPr>
        <w:numPr>
          <w:ilvl w:val="0"/>
          <w:numId w:val="11"/>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电机减速机参数供参考，确保螺旋输送机输送能力达设计输送量，若调整速比和其它参数需经甲方书面同意；</w:t>
      </w:r>
    </w:p>
    <w:p>
      <w:pPr>
        <w:numPr>
          <w:ilvl w:val="0"/>
          <w:numId w:val="11"/>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变频螺旋所</w:t>
      </w:r>
      <w:r>
        <w:rPr>
          <w:rFonts w:asciiTheme="minorEastAsia" w:hAnsiTheme="minorEastAsia" w:eastAsiaTheme="minorEastAsia" w:cstheme="minorEastAsia"/>
          <w:sz w:val="24"/>
          <w:szCs w:val="24"/>
        </w:rPr>
        <w:t>配置的</w:t>
      </w:r>
      <w:r>
        <w:rPr>
          <w:rFonts w:hint="eastAsia" w:asciiTheme="minorEastAsia" w:hAnsiTheme="minorEastAsia" w:eastAsiaTheme="minorEastAsia" w:cstheme="minorEastAsia"/>
          <w:sz w:val="24"/>
          <w:szCs w:val="24"/>
        </w:rPr>
        <w:t>减速机</w:t>
      </w:r>
      <w:r>
        <w:rPr>
          <w:rFonts w:asciiTheme="minorEastAsia" w:hAnsiTheme="minorEastAsia" w:eastAsiaTheme="minorEastAsia" w:cstheme="minorEastAsia"/>
          <w:sz w:val="24"/>
          <w:szCs w:val="24"/>
        </w:rPr>
        <w:t>电机</w:t>
      </w:r>
      <w:r>
        <w:rPr>
          <w:rFonts w:hint="eastAsia" w:asciiTheme="minorEastAsia" w:hAnsiTheme="minorEastAsia" w:eastAsiaTheme="minorEastAsia" w:cstheme="minorEastAsia"/>
          <w:sz w:val="24"/>
          <w:szCs w:val="24"/>
        </w:rPr>
        <w:t>为</w:t>
      </w:r>
      <w:r>
        <w:rPr>
          <w:rFonts w:asciiTheme="minorEastAsia" w:hAnsiTheme="minorEastAsia" w:eastAsiaTheme="minorEastAsia" w:cstheme="minorEastAsia"/>
          <w:sz w:val="24"/>
          <w:szCs w:val="24"/>
        </w:rPr>
        <w:t>配备独立风扇电源的可调频电机</w:t>
      </w:r>
      <w:r>
        <w:rPr>
          <w:rFonts w:hint="eastAsia" w:asciiTheme="minorEastAsia" w:hAnsiTheme="minorEastAsia" w:eastAsiaTheme="minorEastAsia" w:cstheme="minorEastAsia"/>
          <w:sz w:val="24"/>
          <w:szCs w:val="24"/>
        </w:rPr>
        <w:t>，</w:t>
      </w:r>
      <w:r>
        <w:rPr>
          <w:rFonts w:asciiTheme="minorEastAsia" w:hAnsiTheme="minorEastAsia" w:eastAsiaTheme="minorEastAsia" w:cstheme="minorEastAsia"/>
          <w:sz w:val="24"/>
          <w:szCs w:val="24"/>
        </w:rPr>
        <w:t>调频范围</w:t>
      </w:r>
      <w:r>
        <w:rPr>
          <w:rFonts w:hint="eastAsia" w:asciiTheme="minorEastAsia" w:hAnsiTheme="minorEastAsia" w:eastAsiaTheme="minorEastAsia" w:cstheme="minorEastAsia"/>
          <w:sz w:val="24"/>
          <w:szCs w:val="24"/>
        </w:rPr>
        <w:t>25-75Hz；减速</w:t>
      </w:r>
      <w:r>
        <w:rPr>
          <w:rFonts w:asciiTheme="minorEastAsia" w:hAnsiTheme="minorEastAsia" w:eastAsiaTheme="minorEastAsia" w:cstheme="minorEastAsia"/>
          <w:sz w:val="24"/>
          <w:szCs w:val="24"/>
        </w:rPr>
        <w:t>电机品牌</w:t>
      </w:r>
      <w:r>
        <w:rPr>
          <w:rFonts w:hint="eastAsia" w:asciiTheme="minorEastAsia" w:hAnsiTheme="minorEastAsia" w:eastAsiaTheme="minorEastAsia" w:cstheme="minorEastAsia"/>
          <w:sz w:val="24"/>
          <w:szCs w:val="24"/>
        </w:rPr>
        <w:t>限定</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国茂</w:t>
      </w:r>
      <w:r>
        <w:rPr>
          <w:rFonts w:asciiTheme="minorEastAsia" w:hAnsiTheme="minorEastAsia" w:eastAsiaTheme="minorEastAsia" w:cstheme="minorEastAsia"/>
          <w:sz w:val="24"/>
          <w:szCs w:val="24"/>
        </w:rPr>
        <w:t>、浙江恒</w:t>
      </w:r>
      <w:r>
        <w:rPr>
          <w:rFonts w:hint="eastAsia" w:asciiTheme="minorEastAsia" w:hAnsiTheme="minorEastAsia" w:eastAsiaTheme="minorEastAsia" w:cstheme="minorEastAsia"/>
          <w:sz w:val="24"/>
          <w:szCs w:val="24"/>
        </w:rPr>
        <w:t>齿</w:t>
      </w:r>
      <w:r>
        <w:rPr>
          <w:rFonts w:asciiTheme="minorEastAsia" w:hAnsiTheme="minorEastAsia" w:eastAsiaTheme="minorEastAsia" w:cstheme="minorEastAsia"/>
          <w:sz w:val="24"/>
          <w:szCs w:val="24"/>
        </w:rPr>
        <w:t>、浙江通力、诺德；</w:t>
      </w:r>
      <w:r>
        <w:rPr>
          <w:rFonts w:hint="eastAsia" w:asciiTheme="minorEastAsia" w:hAnsiTheme="minorEastAsia" w:eastAsiaTheme="minorEastAsia" w:cstheme="minorEastAsia"/>
          <w:sz w:val="24"/>
          <w:szCs w:val="24"/>
        </w:rPr>
        <w:t>电机选用国产优质品牌，报甲方认可后执行。</w:t>
      </w:r>
      <w:r>
        <w:rPr>
          <w:rFonts w:asciiTheme="minorEastAsia" w:hAnsiTheme="minorEastAsia" w:eastAsiaTheme="minorEastAsia" w:cstheme="minorEastAsia"/>
          <w:sz w:val="24"/>
          <w:szCs w:val="24"/>
        </w:rPr>
        <w:t>电机等级：防护等级IP55，绝缘等级F，</w:t>
      </w:r>
      <w:r>
        <w:rPr>
          <w:rFonts w:hint="eastAsia" w:asciiTheme="minorEastAsia" w:hAnsiTheme="minorEastAsia" w:eastAsiaTheme="minorEastAsia" w:cstheme="minorEastAsia"/>
          <w:sz w:val="24"/>
          <w:szCs w:val="24"/>
        </w:rPr>
        <w:t>非</w:t>
      </w:r>
      <w:r>
        <w:rPr>
          <w:rFonts w:asciiTheme="minorEastAsia" w:hAnsiTheme="minorEastAsia" w:eastAsiaTheme="minorEastAsia" w:cstheme="minorEastAsia"/>
          <w:sz w:val="24"/>
          <w:szCs w:val="24"/>
        </w:rPr>
        <w:t>变频电机能耗等级GB18613-20</w:t>
      </w:r>
      <w:r>
        <w:rPr>
          <w:rFonts w:hint="eastAsia" w:asciiTheme="minorEastAsia" w:hAnsiTheme="minorEastAsia" w:eastAsiaTheme="minorEastAsia" w:cstheme="minorEastAsia"/>
          <w:sz w:val="24"/>
          <w:szCs w:val="24"/>
        </w:rPr>
        <w:t>20</w:t>
      </w:r>
      <w:r>
        <w:rPr>
          <w:rFonts w:asciiTheme="minorEastAsia" w:hAnsiTheme="minorEastAsia" w:eastAsiaTheme="minorEastAsia" w:cstheme="minorEastAsia"/>
          <w:sz w:val="24"/>
          <w:szCs w:val="24"/>
        </w:rPr>
        <w:t xml:space="preserve"> 2级</w:t>
      </w:r>
      <w:r>
        <w:rPr>
          <w:rFonts w:hint="eastAsia" w:asciiTheme="minorEastAsia" w:hAnsiTheme="minorEastAsia" w:eastAsiaTheme="minorEastAsia" w:cstheme="minorEastAsia"/>
          <w:sz w:val="24"/>
          <w:szCs w:val="24"/>
        </w:rPr>
        <w:t>；</w:t>
      </w:r>
    </w:p>
    <w:p>
      <w:pPr>
        <w:numPr>
          <w:ilvl w:val="0"/>
          <w:numId w:val="11"/>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轴承选用国产优质产品，品牌限定：</w:t>
      </w:r>
      <w:r>
        <w:rPr>
          <w:rFonts w:asciiTheme="minorEastAsia" w:hAnsiTheme="minorEastAsia" w:eastAsiaTheme="minorEastAsia" w:cstheme="minorEastAsia"/>
          <w:sz w:val="24"/>
          <w:szCs w:val="24"/>
        </w:rPr>
        <w:t>哈尔滨</w:t>
      </w:r>
      <w:r>
        <w:rPr>
          <w:rFonts w:hint="eastAsia" w:asciiTheme="minorEastAsia" w:hAnsiTheme="minorEastAsia" w:eastAsiaTheme="minorEastAsia" w:cstheme="minorEastAsia"/>
          <w:sz w:val="24"/>
          <w:szCs w:val="24"/>
        </w:rPr>
        <w:t>、</w:t>
      </w:r>
      <w:r>
        <w:rPr>
          <w:rFonts w:asciiTheme="minorEastAsia" w:hAnsiTheme="minorEastAsia" w:eastAsiaTheme="minorEastAsia" w:cstheme="minorEastAsia"/>
          <w:sz w:val="24"/>
          <w:szCs w:val="24"/>
        </w:rPr>
        <w:t>瓦房店</w:t>
      </w:r>
      <w:r>
        <w:rPr>
          <w:rFonts w:hint="eastAsia" w:asciiTheme="minorEastAsia" w:hAnsiTheme="minorEastAsia" w:eastAsiaTheme="minorEastAsia" w:cstheme="minorEastAsia"/>
          <w:sz w:val="24"/>
          <w:szCs w:val="24"/>
        </w:rPr>
        <w:t>、</w:t>
      </w:r>
      <w:r>
        <w:rPr>
          <w:rFonts w:asciiTheme="minorEastAsia" w:hAnsiTheme="minorEastAsia" w:eastAsiaTheme="minorEastAsia" w:cstheme="minorEastAsia"/>
          <w:sz w:val="24"/>
          <w:szCs w:val="24"/>
        </w:rPr>
        <w:t>洛轴</w:t>
      </w:r>
      <w:r>
        <w:rPr>
          <w:rFonts w:hint="eastAsia" w:asciiTheme="minorEastAsia" w:hAnsiTheme="minorEastAsia" w:eastAsiaTheme="minorEastAsia" w:cstheme="minorEastAsia"/>
          <w:sz w:val="24"/>
          <w:szCs w:val="24"/>
        </w:rPr>
        <w:t>；</w:t>
      </w:r>
    </w:p>
    <w:p>
      <w:pPr>
        <w:numPr>
          <w:ilvl w:val="0"/>
          <w:numId w:val="11"/>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螺旋输送机外形为</w:t>
      </w:r>
      <w:r>
        <w:rPr>
          <w:rFonts w:asciiTheme="minorEastAsia" w:hAnsiTheme="minorEastAsia" w:eastAsiaTheme="minorEastAsia" w:cstheme="minorEastAsia"/>
          <w:sz w:val="24"/>
          <w:szCs w:val="24"/>
        </w:rPr>
        <w:t>U</w:t>
      </w:r>
      <w:r>
        <w:rPr>
          <w:rFonts w:hint="eastAsia" w:asciiTheme="minorEastAsia" w:hAnsiTheme="minorEastAsia" w:eastAsiaTheme="minorEastAsia" w:cstheme="minorEastAsia"/>
          <w:sz w:val="24"/>
          <w:szCs w:val="24"/>
        </w:rPr>
        <w:t>型机壳，壳体、盖板、连接法兰均采用</w:t>
      </w:r>
      <w:r>
        <w:rPr>
          <w:rFonts w:asciiTheme="minorEastAsia" w:hAnsiTheme="minorEastAsia" w:eastAsiaTheme="minorEastAsia" w:cstheme="minorEastAsia"/>
          <w:sz w:val="24"/>
          <w:szCs w:val="24"/>
        </w:rPr>
        <w:t>304</w:t>
      </w:r>
      <w:r>
        <w:rPr>
          <w:rFonts w:hint="eastAsia" w:asciiTheme="minorEastAsia" w:hAnsiTheme="minorEastAsia" w:eastAsiaTheme="minorEastAsia" w:cstheme="minorEastAsia"/>
          <w:sz w:val="24"/>
          <w:szCs w:val="24"/>
        </w:rPr>
        <w:t>材质，其中机体连接法兰厚度不低于</w:t>
      </w:r>
      <w:r>
        <w:rPr>
          <w:rFonts w:asciiTheme="minorEastAsia" w:hAnsiTheme="minorEastAsia" w:eastAsiaTheme="minorEastAsia" w:cstheme="minorEastAsia"/>
          <w:sz w:val="24"/>
          <w:szCs w:val="24"/>
        </w:rPr>
        <w:t>10mm</w:t>
      </w:r>
      <w:r>
        <w:rPr>
          <w:rFonts w:hint="eastAsia" w:asciiTheme="minorEastAsia" w:hAnsiTheme="minorEastAsia" w:eastAsiaTheme="minorEastAsia" w:cstheme="minorEastAsia"/>
          <w:sz w:val="24"/>
          <w:szCs w:val="24"/>
        </w:rPr>
        <w:t>，减速机（或轴承座）连接法兰厚度不低于</w:t>
      </w:r>
      <w:r>
        <w:rPr>
          <w:rFonts w:asciiTheme="minorEastAsia" w:hAnsiTheme="minorEastAsia" w:eastAsiaTheme="minorEastAsia" w:cstheme="minorEastAsia"/>
          <w:sz w:val="24"/>
          <w:szCs w:val="24"/>
        </w:rPr>
        <w:t>20mm</w:t>
      </w:r>
      <w:r>
        <w:rPr>
          <w:rFonts w:hint="eastAsia" w:asciiTheme="minorEastAsia" w:hAnsiTheme="minorEastAsia" w:eastAsiaTheme="minorEastAsia" w:cstheme="minorEastAsia"/>
          <w:sz w:val="24"/>
          <w:szCs w:val="24"/>
        </w:rPr>
        <w:t>，圆管法兰无特殊注明的按</w:t>
      </w:r>
      <w:r>
        <w:rPr>
          <w:rFonts w:asciiTheme="minorEastAsia" w:hAnsiTheme="minorEastAsia" w:eastAsiaTheme="minorEastAsia" w:cstheme="minorEastAsia"/>
          <w:sz w:val="24"/>
          <w:szCs w:val="24"/>
        </w:rPr>
        <w:t>GB/T9119-2010</w:t>
      </w:r>
      <w:r>
        <w:rPr>
          <w:rFonts w:hint="eastAsia" w:asciiTheme="minorEastAsia" w:hAnsiTheme="minorEastAsia" w:eastAsiaTheme="minorEastAsia" w:cstheme="minorEastAsia"/>
          <w:sz w:val="24"/>
          <w:szCs w:val="24"/>
        </w:rPr>
        <w:t>凸面平焊法兰</w:t>
      </w:r>
      <w:r>
        <w:rPr>
          <w:rFonts w:asciiTheme="minorEastAsia" w:hAnsiTheme="minorEastAsia" w:eastAsiaTheme="minorEastAsia" w:cstheme="minorEastAsia"/>
          <w:sz w:val="24"/>
          <w:szCs w:val="24"/>
        </w:rPr>
        <w:t>II</w:t>
      </w:r>
      <w:r>
        <w:rPr>
          <w:rFonts w:hint="eastAsia" w:asciiTheme="minorEastAsia" w:hAnsiTheme="minorEastAsia" w:eastAsiaTheme="minorEastAsia" w:cstheme="minorEastAsia"/>
          <w:sz w:val="24"/>
          <w:szCs w:val="24"/>
        </w:rPr>
        <w:t>系列中</w:t>
      </w:r>
      <w:r>
        <w:rPr>
          <w:rFonts w:asciiTheme="minorEastAsia" w:hAnsiTheme="minorEastAsia" w:eastAsiaTheme="minorEastAsia" w:cstheme="minorEastAsia"/>
          <w:sz w:val="24"/>
          <w:szCs w:val="24"/>
        </w:rPr>
        <w:t>PN10</w:t>
      </w:r>
      <w:r>
        <w:rPr>
          <w:rFonts w:hint="eastAsia" w:asciiTheme="minorEastAsia" w:hAnsiTheme="minorEastAsia" w:eastAsiaTheme="minorEastAsia" w:cstheme="minorEastAsia"/>
          <w:sz w:val="24"/>
          <w:szCs w:val="24"/>
        </w:rPr>
        <w:t>选取；螺旋叶外部必须圆滑平整；</w:t>
      </w:r>
    </w:p>
    <w:p>
      <w:pPr>
        <w:numPr>
          <w:ilvl w:val="0"/>
          <w:numId w:val="11"/>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所有材料实际板厚按照以下标准执行：</w:t>
      </w:r>
    </w:p>
    <w:p>
      <w:pPr>
        <w:autoSpaceDE w:val="0"/>
        <w:autoSpaceDN w:val="0"/>
        <w:adjustRightInd w:val="0"/>
        <w:spacing w:line="360" w:lineRule="auto"/>
        <w:ind w:left="567"/>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10mm板厚度不得小于9.7mm；</w:t>
      </w:r>
    </w:p>
    <w:p>
      <w:pPr>
        <w:autoSpaceDE w:val="0"/>
        <w:autoSpaceDN w:val="0"/>
        <w:adjustRightInd w:val="0"/>
        <w:spacing w:line="360" w:lineRule="auto"/>
        <w:ind w:left="567"/>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8mm板厚度不得小于7.7mm；</w:t>
      </w:r>
    </w:p>
    <w:p>
      <w:pPr>
        <w:autoSpaceDE w:val="0"/>
        <w:autoSpaceDN w:val="0"/>
        <w:adjustRightInd w:val="0"/>
        <w:spacing w:line="360" w:lineRule="auto"/>
        <w:ind w:left="567"/>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6mm板厚度不得小于5.8mm；</w:t>
      </w:r>
    </w:p>
    <w:p>
      <w:pPr>
        <w:autoSpaceDE w:val="0"/>
        <w:autoSpaceDN w:val="0"/>
        <w:adjustRightInd w:val="0"/>
        <w:spacing w:line="360" w:lineRule="auto"/>
        <w:ind w:left="567"/>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5mm板厚度不得小于4.7mm；</w:t>
      </w:r>
    </w:p>
    <w:p>
      <w:pPr>
        <w:autoSpaceDE w:val="0"/>
        <w:autoSpaceDN w:val="0"/>
        <w:adjustRightInd w:val="0"/>
        <w:spacing w:line="360" w:lineRule="auto"/>
        <w:ind w:left="567"/>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4mm板厚度不得小于3.7mm；</w:t>
      </w:r>
    </w:p>
    <w:p>
      <w:pPr>
        <w:autoSpaceDE w:val="0"/>
        <w:autoSpaceDN w:val="0"/>
        <w:adjustRightInd w:val="0"/>
        <w:spacing w:line="360" w:lineRule="auto"/>
        <w:ind w:left="567"/>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3mm板厚度不得小于2.7mm；</w:t>
      </w:r>
    </w:p>
    <w:p>
      <w:pPr>
        <w:autoSpaceDE w:val="0"/>
        <w:autoSpaceDN w:val="0"/>
        <w:adjustRightInd w:val="0"/>
        <w:spacing w:line="360" w:lineRule="auto"/>
        <w:ind w:left="567"/>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2mm板厚度不得小于1.8mm；</w:t>
      </w:r>
    </w:p>
    <w:p>
      <w:pPr>
        <w:autoSpaceDE w:val="0"/>
        <w:autoSpaceDN w:val="0"/>
        <w:adjustRightInd w:val="0"/>
        <w:spacing w:line="360" w:lineRule="auto"/>
        <w:ind w:left="42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若板厚不满足以上要求，甲方有权要求</w:t>
      </w:r>
      <w:r>
        <w:rPr>
          <w:rFonts w:asciiTheme="minorEastAsia" w:hAnsiTheme="minorEastAsia" w:eastAsiaTheme="minorEastAsia" w:cstheme="minorEastAsia"/>
          <w:sz w:val="24"/>
          <w:szCs w:val="24"/>
        </w:rPr>
        <w:t>乙方</w:t>
      </w:r>
      <w:r>
        <w:rPr>
          <w:rFonts w:hint="eastAsia" w:asciiTheme="minorEastAsia" w:hAnsiTheme="minorEastAsia" w:eastAsiaTheme="minorEastAsia" w:cstheme="minorEastAsia"/>
          <w:sz w:val="24"/>
          <w:szCs w:val="24"/>
        </w:rPr>
        <w:t>重新制作或更换合格板厚。</w:t>
      </w:r>
    </w:p>
    <w:p>
      <w:pPr>
        <w:numPr>
          <w:ilvl w:val="0"/>
          <w:numId w:val="11"/>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乙方材料进场时提供原材料采购证明及材质证明、材质检测报告及邮寄样本给甲方；</w:t>
      </w:r>
    </w:p>
    <w:p>
      <w:pPr>
        <w:numPr>
          <w:ilvl w:val="0"/>
          <w:numId w:val="11"/>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螺旋轴采用40Cr或综合性能优于40Cr的材料；</w:t>
      </w:r>
    </w:p>
    <w:p>
      <w:pPr>
        <w:numPr>
          <w:ilvl w:val="0"/>
          <w:numId w:val="11"/>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组装前严格检查零件尺寸并清除零件加工时残留的锐角、毛刺；</w:t>
      </w:r>
    </w:p>
    <w:p>
      <w:pPr>
        <w:numPr>
          <w:ilvl w:val="0"/>
          <w:numId w:val="11"/>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壳体与壳体之间连接采用≥</w:t>
      </w:r>
      <w:r>
        <w:rPr>
          <w:rFonts w:asciiTheme="minorEastAsia" w:hAnsiTheme="minorEastAsia" w:eastAsiaTheme="minorEastAsia" w:cstheme="minorEastAsia"/>
          <w:sz w:val="24"/>
          <w:szCs w:val="24"/>
        </w:rPr>
        <w:t>M10</w:t>
      </w:r>
      <w:r>
        <w:rPr>
          <w:rFonts w:hint="eastAsia" w:asciiTheme="minorEastAsia" w:hAnsiTheme="minorEastAsia" w:eastAsiaTheme="minorEastAsia" w:cstheme="minorEastAsia"/>
          <w:sz w:val="24"/>
          <w:szCs w:val="24"/>
        </w:rPr>
        <w:t>螺钉组连接，盖板和壳体连接采用≥</w:t>
      </w:r>
      <w:r>
        <w:rPr>
          <w:rFonts w:asciiTheme="minorEastAsia" w:hAnsiTheme="minorEastAsia" w:eastAsiaTheme="minorEastAsia" w:cstheme="minorEastAsia"/>
          <w:sz w:val="24"/>
          <w:szCs w:val="24"/>
        </w:rPr>
        <w:t>M10</w:t>
      </w:r>
      <w:r>
        <w:rPr>
          <w:rFonts w:hint="eastAsia" w:asciiTheme="minorEastAsia" w:hAnsiTheme="minorEastAsia" w:eastAsiaTheme="minorEastAsia" w:cstheme="minorEastAsia"/>
          <w:sz w:val="24"/>
          <w:szCs w:val="24"/>
        </w:rPr>
        <w:t xml:space="preserve">不锈钢螺钉组固定，其余连接处按标准件规定选择螺栓规格； </w:t>
      </w:r>
    </w:p>
    <w:p>
      <w:pPr>
        <w:numPr>
          <w:ilvl w:val="0"/>
          <w:numId w:val="11"/>
        </w:numPr>
        <w:autoSpaceDE w:val="0"/>
        <w:autoSpaceDN w:val="0"/>
        <w:adjustRightInd w:val="0"/>
        <w:spacing w:line="360" w:lineRule="auto"/>
        <w:ind w:lef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各输送机进出口配置配对法兰，配对法兰等位置的螺栓孔配套螺栓、平垫、弹垫、螺母，均由</w:t>
      </w:r>
      <w:r>
        <w:rPr>
          <w:rFonts w:asciiTheme="minorEastAsia" w:hAnsiTheme="minorEastAsia" w:eastAsiaTheme="minorEastAsia" w:cstheme="minorEastAsia"/>
          <w:sz w:val="24"/>
          <w:szCs w:val="24"/>
        </w:rPr>
        <w:t>乙</w:t>
      </w:r>
      <w:r>
        <w:rPr>
          <w:rFonts w:hint="eastAsia" w:asciiTheme="minorEastAsia" w:hAnsiTheme="minorEastAsia" w:eastAsiaTheme="minorEastAsia" w:cstheme="minorEastAsia"/>
          <w:sz w:val="24"/>
          <w:szCs w:val="24"/>
        </w:rPr>
        <w:t>方出厂前配套齐全，配对法兰需配置密封垫，确保不漏水、不漏气；</w:t>
      </w:r>
    </w:p>
    <w:p>
      <w:pPr>
        <w:numPr>
          <w:ilvl w:val="0"/>
          <w:numId w:val="11"/>
        </w:numPr>
        <w:autoSpaceDE w:val="0"/>
        <w:autoSpaceDN w:val="0"/>
        <w:adjustRightInd w:val="0"/>
        <w:spacing w:line="360" w:lineRule="auto"/>
        <w:ind w:lef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机盖连接用螺栓组材质为不锈钢</w:t>
      </w:r>
      <w:r>
        <w:rPr>
          <w:rFonts w:asciiTheme="minorEastAsia" w:hAnsiTheme="minorEastAsia" w:eastAsiaTheme="minorEastAsia" w:cstheme="minorEastAsia"/>
          <w:sz w:val="24"/>
          <w:szCs w:val="24"/>
        </w:rPr>
        <w:t>304</w:t>
      </w:r>
      <w:r>
        <w:rPr>
          <w:rFonts w:hint="eastAsia" w:asciiTheme="minorEastAsia" w:hAnsiTheme="minorEastAsia" w:eastAsiaTheme="minorEastAsia" w:cstheme="minorEastAsia"/>
          <w:sz w:val="24"/>
          <w:szCs w:val="24"/>
        </w:rPr>
        <w:t>，性能等级A2-70，减速电机固定法兰螺栓≥</w:t>
      </w:r>
      <w:r>
        <w:rPr>
          <w:rFonts w:asciiTheme="minorEastAsia" w:hAnsiTheme="minorEastAsia" w:eastAsiaTheme="minorEastAsia" w:cstheme="minorEastAsia"/>
          <w:sz w:val="24"/>
          <w:szCs w:val="24"/>
        </w:rPr>
        <w:t>8.8</w:t>
      </w:r>
      <w:r>
        <w:rPr>
          <w:rFonts w:hint="eastAsia" w:asciiTheme="minorEastAsia" w:hAnsiTheme="minorEastAsia" w:eastAsiaTheme="minorEastAsia" w:cstheme="minorEastAsia"/>
          <w:sz w:val="24"/>
          <w:szCs w:val="24"/>
        </w:rPr>
        <w:t>级热浸镀锌螺栓组；</w:t>
      </w:r>
    </w:p>
    <w:p>
      <w:pPr>
        <w:numPr>
          <w:ilvl w:val="0"/>
          <w:numId w:val="11"/>
        </w:numPr>
        <w:autoSpaceDE w:val="0"/>
        <w:autoSpaceDN w:val="0"/>
        <w:adjustRightInd w:val="0"/>
        <w:spacing w:line="360" w:lineRule="auto"/>
        <w:ind w:lef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所有连接法兰，包括攻牙孔等螺旋孔位，均需配置配套螺栓、平弹垫；</w:t>
      </w:r>
    </w:p>
    <w:p>
      <w:pPr>
        <w:numPr>
          <w:ilvl w:val="0"/>
          <w:numId w:val="11"/>
        </w:numPr>
        <w:autoSpaceDE w:val="0"/>
        <w:autoSpaceDN w:val="0"/>
        <w:adjustRightInd w:val="0"/>
        <w:spacing w:line="360" w:lineRule="auto"/>
        <w:ind w:lef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所有支撑架等配件按图纸样式制作；</w:t>
      </w:r>
    </w:p>
    <w:p>
      <w:pPr>
        <w:numPr>
          <w:ilvl w:val="0"/>
          <w:numId w:val="11"/>
        </w:numPr>
        <w:autoSpaceDE w:val="0"/>
        <w:autoSpaceDN w:val="0"/>
        <w:adjustRightInd w:val="0"/>
        <w:spacing w:line="360" w:lineRule="auto"/>
        <w:ind w:lef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螺旋输送机上配置的优质成品</w:t>
      </w:r>
      <w:r>
        <w:rPr>
          <w:rFonts w:asciiTheme="minorEastAsia" w:hAnsiTheme="minorEastAsia" w:eastAsiaTheme="minorEastAsia" w:cstheme="minorEastAsia"/>
          <w:sz w:val="24"/>
          <w:szCs w:val="24"/>
        </w:rPr>
        <w:t>304</w:t>
      </w:r>
      <w:r>
        <w:rPr>
          <w:rFonts w:hint="eastAsia" w:asciiTheme="minorEastAsia" w:hAnsiTheme="minorEastAsia" w:eastAsiaTheme="minorEastAsia" w:cstheme="minorEastAsia"/>
          <w:sz w:val="24"/>
          <w:szCs w:val="24"/>
        </w:rPr>
        <w:t>不锈钢快拆盖需设有硅胶密封圈，防止气液跑冒滴漏；</w:t>
      </w:r>
    </w:p>
    <w:p>
      <w:pPr>
        <w:numPr>
          <w:ilvl w:val="0"/>
          <w:numId w:val="11"/>
        </w:numPr>
        <w:autoSpaceDE w:val="0"/>
        <w:autoSpaceDN w:val="0"/>
        <w:adjustRightInd w:val="0"/>
        <w:spacing w:line="360" w:lineRule="auto"/>
        <w:ind w:lef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螺旋输送机上面的非成品304不锈钢快拆盖，需要配备泡沫密封胶垫，防止气臭气外溢；</w:t>
      </w:r>
    </w:p>
    <w:p>
      <w:pPr>
        <w:numPr>
          <w:ilvl w:val="0"/>
          <w:numId w:val="11"/>
        </w:numPr>
        <w:autoSpaceDE w:val="0"/>
        <w:autoSpaceDN w:val="0"/>
        <w:adjustRightInd w:val="0"/>
        <w:spacing w:line="360" w:lineRule="auto"/>
        <w:ind w:lef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所有设备螺旋叶外径公差为±</w:t>
      </w:r>
      <w:r>
        <w:rPr>
          <w:rFonts w:asciiTheme="minorEastAsia" w:hAnsiTheme="minorEastAsia" w:eastAsiaTheme="minorEastAsia" w:cstheme="minorEastAsia"/>
          <w:sz w:val="24"/>
          <w:szCs w:val="24"/>
        </w:rPr>
        <w:t>1.2mm</w:t>
      </w:r>
      <w:r>
        <w:rPr>
          <w:rFonts w:hint="eastAsia" w:asciiTheme="minorEastAsia" w:hAnsiTheme="minorEastAsia" w:eastAsiaTheme="minorEastAsia" w:cstheme="minorEastAsia"/>
          <w:sz w:val="24"/>
          <w:szCs w:val="24"/>
        </w:rPr>
        <w:t>，螺距为公差为±</w:t>
      </w:r>
      <w:r>
        <w:rPr>
          <w:rFonts w:asciiTheme="minorEastAsia" w:hAnsiTheme="minorEastAsia" w:eastAsiaTheme="minorEastAsia" w:cstheme="minorEastAsia"/>
          <w:sz w:val="24"/>
          <w:szCs w:val="24"/>
        </w:rPr>
        <w:t>10mm</w:t>
      </w:r>
      <w:r>
        <w:rPr>
          <w:rFonts w:hint="eastAsia" w:asciiTheme="minorEastAsia" w:hAnsiTheme="minorEastAsia" w:eastAsiaTheme="minorEastAsia" w:cstheme="minorEastAsia"/>
          <w:sz w:val="24"/>
          <w:szCs w:val="24"/>
        </w:rPr>
        <w:t>；螺旋体同轴度偏差不超过</w:t>
      </w:r>
      <w:r>
        <w:rPr>
          <w:rFonts w:asciiTheme="minorEastAsia" w:hAnsiTheme="minorEastAsia" w:eastAsiaTheme="minorEastAsia" w:cstheme="minorEastAsia"/>
          <w:sz w:val="24"/>
          <w:szCs w:val="24"/>
        </w:rPr>
        <w:t>3mm</w:t>
      </w:r>
      <w:r>
        <w:rPr>
          <w:rFonts w:hint="eastAsia" w:asciiTheme="minorEastAsia" w:hAnsiTheme="minorEastAsia" w:eastAsiaTheme="minorEastAsia" w:cstheme="minorEastAsia"/>
          <w:sz w:val="24"/>
          <w:szCs w:val="24"/>
        </w:rPr>
        <w:t>；</w:t>
      </w:r>
    </w:p>
    <w:p>
      <w:pPr>
        <w:numPr>
          <w:ilvl w:val="0"/>
          <w:numId w:val="11"/>
        </w:numPr>
        <w:autoSpaceDE w:val="0"/>
        <w:autoSpaceDN w:val="0"/>
        <w:adjustRightInd w:val="0"/>
        <w:spacing w:line="360" w:lineRule="auto"/>
        <w:ind w:lef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各设备非进料口、出料口处不能出现漏液滴漏现象，螺旋旋转时必须平稳、顺畅不得有卡阻和跳动等不良现象；</w:t>
      </w:r>
    </w:p>
    <w:p>
      <w:pPr>
        <w:numPr>
          <w:ilvl w:val="0"/>
          <w:numId w:val="11"/>
        </w:numPr>
        <w:autoSpaceDE w:val="0"/>
        <w:autoSpaceDN w:val="0"/>
        <w:adjustRightInd w:val="0"/>
        <w:spacing w:line="360" w:lineRule="auto"/>
        <w:ind w:lef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法兰与法兰连接垫片，螺旋壳体与上盖、所有可拆盖板均采用硅胶密封胶垫，确保不漏水、不漏气，若选择其他密封垫材质，需要取得双方认可；</w:t>
      </w:r>
    </w:p>
    <w:p>
      <w:pPr>
        <w:numPr>
          <w:ilvl w:val="0"/>
          <w:numId w:val="11"/>
        </w:numPr>
        <w:autoSpaceDE w:val="0"/>
        <w:autoSpaceDN w:val="0"/>
        <w:adjustRightInd w:val="0"/>
        <w:spacing w:line="360" w:lineRule="auto"/>
        <w:ind w:lef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在电机驱动端面处贴示螺旋叶旋转方向和物料的进出口标识，需保证标识的准确性，不能错乱；</w:t>
      </w:r>
    </w:p>
    <w:p>
      <w:pPr>
        <w:numPr>
          <w:ilvl w:val="0"/>
          <w:numId w:val="11"/>
        </w:numPr>
        <w:autoSpaceDE w:val="0"/>
        <w:autoSpaceDN w:val="0"/>
        <w:adjustRightInd w:val="0"/>
        <w:spacing w:line="360" w:lineRule="auto"/>
        <w:ind w:lef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焊接件应符合</w:t>
      </w:r>
      <w:r>
        <w:rPr>
          <w:rFonts w:asciiTheme="minorEastAsia" w:hAnsiTheme="minorEastAsia" w:eastAsiaTheme="minorEastAsia" w:cstheme="minorEastAsia"/>
          <w:sz w:val="24"/>
          <w:szCs w:val="24"/>
        </w:rPr>
        <w:t>GB/T 12469</w:t>
      </w:r>
      <w:r>
        <w:rPr>
          <w:rFonts w:hint="eastAsia" w:asciiTheme="minorEastAsia" w:hAnsiTheme="minorEastAsia" w:eastAsiaTheme="minorEastAsia" w:cstheme="minorEastAsia"/>
          <w:sz w:val="24"/>
          <w:szCs w:val="24"/>
        </w:rPr>
        <w:t>中的缺陷分级的三级要求，本设备制作需符合</w:t>
      </w:r>
      <w:r>
        <w:rPr>
          <w:rFonts w:asciiTheme="minorEastAsia" w:hAnsiTheme="minorEastAsia" w:eastAsiaTheme="minorEastAsia" w:cstheme="minorEastAsia"/>
          <w:sz w:val="24"/>
          <w:szCs w:val="24"/>
        </w:rPr>
        <w:t>JB/T 7679-2008</w:t>
      </w:r>
      <w:r>
        <w:rPr>
          <w:rFonts w:hint="eastAsia" w:asciiTheme="minorEastAsia" w:hAnsiTheme="minorEastAsia" w:eastAsiaTheme="minorEastAsia" w:cstheme="minorEastAsia"/>
          <w:sz w:val="24"/>
          <w:szCs w:val="24"/>
        </w:rPr>
        <w:t>《螺旋输送机》相关规定；</w:t>
      </w:r>
    </w:p>
    <w:p>
      <w:pPr>
        <w:numPr>
          <w:ilvl w:val="0"/>
          <w:numId w:val="11"/>
        </w:numPr>
        <w:autoSpaceDE w:val="0"/>
        <w:autoSpaceDN w:val="0"/>
        <w:adjustRightInd w:val="0"/>
        <w:spacing w:line="360" w:lineRule="auto"/>
        <w:ind w:lef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所有设备整体喷涂颜色不锈钢本色；所有碳钢材料经抛丸除锈达Sa2.5级，</w:t>
      </w:r>
      <w:r>
        <w:rPr>
          <w:rFonts w:asciiTheme="minorEastAsia" w:hAnsiTheme="minorEastAsia" w:eastAsiaTheme="minorEastAsia" w:cstheme="minorEastAsia"/>
          <w:sz w:val="24"/>
          <w:szCs w:val="24"/>
        </w:rPr>
        <w:t>按以下工艺防腐处理</w:t>
      </w:r>
      <w:r>
        <w:rPr>
          <w:rFonts w:hint="eastAsia" w:asciiTheme="minorEastAsia" w:hAnsiTheme="minorEastAsia" w:eastAsiaTheme="minorEastAsia" w:cstheme="minorEastAsia"/>
          <w:sz w:val="24"/>
          <w:szCs w:val="24"/>
        </w:rPr>
        <w:t>：</w:t>
      </w:r>
    </w:p>
    <w:p>
      <w:pPr>
        <w:numPr>
          <w:ilvl w:val="255"/>
          <w:numId w:val="0"/>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rPr>
        <w:t>涂装环氧富锌一道，干膜厚度大于</w:t>
      </w:r>
      <w:r>
        <w:rPr>
          <w:rFonts w:asciiTheme="minorEastAsia" w:hAnsiTheme="minorEastAsia" w:eastAsiaTheme="minorEastAsia" w:cstheme="minorEastAsia"/>
          <w:sz w:val="24"/>
          <w:szCs w:val="24"/>
        </w:rPr>
        <w:t>5</w:t>
      </w:r>
      <w:r>
        <w:rPr>
          <w:rFonts w:hint="eastAsia" w:asciiTheme="minorEastAsia" w:hAnsiTheme="minorEastAsia" w:eastAsiaTheme="minorEastAsia" w:cstheme="minorEastAsia"/>
          <w:sz w:val="24"/>
          <w:szCs w:val="24"/>
        </w:rPr>
        <w:t>0μm；</w:t>
      </w:r>
    </w:p>
    <w:p>
      <w:pPr>
        <w:numPr>
          <w:ilvl w:val="255"/>
          <w:numId w:val="0"/>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rPr>
        <w:t>涂装环氧云铁中漆一道，干膜厚度大于</w:t>
      </w:r>
      <w:r>
        <w:rPr>
          <w:rFonts w:asciiTheme="minorEastAsia" w:hAnsiTheme="minorEastAsia" w:eastAsiaTheme="minorEastAsia" w:cstheme="minorEastAsia"/>
          <w:sz w:val="24"/>
          <w:szCs w:val="24"/>
        </w:rPr>
        <w:t>10</w:t>
      </w:r>
      <w:r>
        <w:rPr>
          <w:rFonts w:hint="eastAsia" w:asciiTheme="minorEastAsia" w:hAnsiTheme="minorEastAsia" w:eastAsiaTheme="minorEastAsia" w:cstheme="minorEastAsia"/>
          <w:sz w:val="24"/>
          <w:szCs w:val="24"/>
        </w:rPr>
        <w:t>0μm；</w:t>
      </w:r>
    </w:p>
    <w:p>
      <w:pPr>
        <w:numPr>
          <w:ilvl w:val="255"/>
          <w:numId w:val="0"/>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rPr>
        <w:t>涂装聚氨酯面漆二道，干膜厚度大于80μm。</w:t>
      </w:r>
    </w:p>
    <w:p>
      <w:pPr>
        <w:numPr>
          <w:ilvl w:val="255"/>
          <w:numId w:val="0"/>
        </w:numPr>
        <w:autoSpaceDE w:val="0"/>
        <w:autoSpaceDN w:val="0"/>
        <w:adjustRightInd w:val="0"/>
        <w:spacing w:line="360" w:lineRule="auto"/>
        <w:jc w:val="left"/>
        <w:rPr>
          <w:rFonts w:hint="eastAsia" w:ascii="宋体" w:hAnsi="宋体" w:cs="宋体"/>
          <w:sz w:val="24"/>
          <w:szCs w:val="24"/>
        </w:rPr>
      </w:pPr>
      <w:r>
        <w:rPr>
          <w:rFonts w:ascii="宋体" w:hAnsi="宋体" w:cs="宋体"/>
          <w:sz w:val="24"/>
          <w:szCs w:val="24"/>
        </w:rPr>
        <w:t xml:space="preserve">    其中栏杆及扶手热浸镀锌处理后喷漆，喷漆颜色：RAL1003信号黄 ，喷漆类型ED1000环氧底漆两道（80μm），聚氨酯面漆两道（80μm）。</w:t>
      </w:r>
    </w:p>
    <w:p>
      <w:pPr>
        <w:numPr>
          <w:ilvl w:val="255"/>
          <w:numId w:val="0"/>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 xml:space="preserve">    面漆颜色：不少于3种颜色的漆搭配喷涂，按甲方提供的样式、颜色喷涂，包括甲方的LOGO标识</w:t>
      </w:r>
      <w:r>
        <w:rPr>
          <w:rFonts w:hint="eastAsia" w:asciiTheme="minorEastAsia" w:hAnsiTheme="minorEastAsia" w:eastAsiaTheme="minorEastAsia" w:cstheme="minorEastAsia"/>
          <w:sz w:val="24"/>
          <w:szCs w:val="24"/>
        </w:rPr>
        <w:t>，甲方提供颜色色卡号。</w:t>
      </w:r>
    </w:p>
    <w:p>
      <w:pPr>
        <w:numPr>
          <w:ilvl w:val="0"/>
          <w:numId w:val="11"/>
        </w:numPr>
        <w:autoSpaceDE w:val="0"/>
        <w:autoSpaceDN w:val="0"/>
        <w:adjustRightInd w:val="0"/>
        <w:spacing w:line="360" w:lineRule="auto"/>
        <w:ind w:lef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所有螺旋检查盖，观察盖等盖板，须配备密封垫；</w:t>
      </w:r>
    </w:p>
    <w:p>
      <w:pPr>
        <w:numPr>
          <w:ilvl w:val="0"/>
          <w:numId w:val="11"/>
        </w:numPr>
        <w:autoSpaceDE w:val="0"/>
        <w:autoSpaceDN w:val="0"/>
        <w:adjustRightInd w:val="0"/>
        <w:spacing w:line="360" w:lineRule="auto"/>
        <w:ind w:lef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各设备按甲方提供的样式制作设备铭牌（甲方</w:t>
      </w:r>
      <w:r>
        <w:rPr>
          <w:rFonts w:asciiTheme="minorEastAsia" w:hAnsiTheme="minorEastAsia" w:eastAsiaTheme="minorEastAsia" w:cstheme="minorEastAsia"/>
          <w:sz w:val="24"/>
          <w:szCs w:val="24"/>
        </w:rPr>
        <w:t>logo</w:t>
      </w:r>
      <w:r>
        <w:rPr>
          <w:rFonts w:hint="eastAsia" w:asciiTheme="minorEastAsia" w:hAnsiTheme="minorEastAsia" w:eastAsiaTheme="minorEastAsia" w:cstheme="minorEastAsia"/>
          <w:sz w:val="24"/>
          <w:szCs w:val="24"/>
        </w:rPr>
        <w:t>），并固定安装于设备明显位置，铭牌以甲方为主，可体现乙方公司名称及联系方式，和出厂编号；</w:t>
      </w:r>
    </w:p>
    <w:p>
      <w:pPr>
        <w:numPr>
          <w:ilvl w:val="0"/>
          <w:numId w:val="11"/>
        </w:numPr>
        <w:autoSpaceDE w:val="0"/>
        <w:autoSpaceDN w:val="0"/>
        <w:adjustRightInd w:val="0"/>
        <w:spacing w:line="360" w:lineRule="auto"/>
        <w:ind w:lef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其他技术要求详见图纸、图纸备注或图纸技术要求；</w:t>
      </w:r>
    </w:p>
    <w:p>
      <w:pPr>
        <w:numPr>
          <w:ilvl w:val="0"/>
          <w:numId w:val="11"/>
        </w:numPr>
        <w:autoSpaceDE w:val="0"/>
        <w:autoSpaceDN w:val="0"/>
        <w:adjustRightInd w:val="0"/>
        <w:spacing w:line="360" w:lineRule="auto"/>
        <w:ind w:lef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各螺旋填料密封均需保证设备正常使用情况下，密封填料使用寿命达半个月以上，填料不少于三圈，填料箱设计合理便于调节及更换填料，设计有足够的空间更换填料；填料密封处均需设置防滴漏接口；</w:t>
      </w:r>
    </w:p>
    <w:p>
      <w:pPr>
        <w:numPr>
          <w:ilvl w:val="0"/>
          <w:numId w:val="11"/>
        </w:numPr>
        <w:autoSpaceDE w:val="0"/>
        <w:autoSpaceDN w:val="0"/>
        <w:adjustRightInd w:val="0"/>
        <w:spacing w:line="360" w:lineRule="auto"/>
        <w:ind w:lef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各螺旋输送机的轴头驱动部分均设置轴承，轴承箱均设有注油嘴，结构便于轴承的更换；</w:t>
      </w:r>
      <w:r>
        <w:rPr>
          <w:rFonts w:asciiTheme="minorEastAsia" w:hAnsiTheme="minorEastAsia" w:eastAsiaTheme="minorEastAsia" w:cstheme="minorEastAsia"/>
          <w:sz w:val="24"/>
          <w:szCs w:val="24"/>
        </w:rPr>
        <w:t xml:space="preserve"> </w:t>
      </w:r>
    </w:p>
    <w:p>
      <w:pPr>
        <w:numPr>
          <w:ilvl w:val="0"/>
          <w:numId w:val="11"/>
        </w:numPr>
        <w:autoSpaceDE w:val="0"/>
        <w:autoSpaceDN w:val="0"/>
        <w:adjustRightInd w:val="0"/>
        <w:spacing w:line="360" w:lineRule="auto"/>
        <w:ind w:lef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减速机使用系数不得低于1.3；</w:t>
      </w:r>
    </w:p>
    <w:p>
      <w:pPr>
        <w:numPr>
          <w:ilvl w:val="0"/>
          <w:numId w:val="11"/>
        </w:numPr>
        <w:autoSpaceDE w:val="0"/>
        <w:autoSpaceDN w:val="0"/>
        <w:adjustRightInd w:val="0"/>
        <w:spacing w:line="360" w:lineRule="auto"/>
        <w:ind w:lef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乙方需要提供螺旋的轴承箱驱动轴处的大样图，以及螺旋填料箱大样图；</w:t>
      </w:r>
    </w:p>
    <w:p>
      <w:pPr>
        <w:numPr>
          <w:ilvl w:val="0"/>
          <w:numId w:val="11"/>
        </w:numPr>
        <w:autoSpaceDE w:val="0"/>
        <w:autoSpaceDN w:val="0"/>
        <w:adjustRightInd w:val="0"/>
        <w:spacing w:line="360" w:lineRule="auto"/>
        <w:ind w:lef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其他未尽事宜，详见设备图纸及图中技术要求；</w:t>
      </w:r>
    </w:p>
    <w:p>
      <w:pPr>
        <w:pStyle w:val="5"/>
        <w:numPr>
          <w:ilvl w:val="3"/>
          <w:numId w:val="10"/>
        </w:numPr>
        <w:spacing w:before="0" w:after="0" w:line="360" w:lineRule="auto"/>
        <w:ind w:left="0" w:firstLine="0"/>
        <w:rPr>
          <w:rFonts w:hint="eastAsia" w:ascii="宋体" w:hAnsi="宋体"/>
          <w:bCs w:val="0"/>
          <w:sz w:val="24"/>
          <w:szCs w:val="24"/>
        </w:rPr>
      </w:pPr>
      <w:r>
        <w:rPr>
          <w:rFonts w:hint="eastAsia" w:ascii="宋体" w:hAnsi="宋体"/>
          <w:bCs w:val="0"/>
          <w:sz w:val="24"/>
          <w:szCs w:val="24"/>
        </w:rPr>
        <w:t>螺旋</w:t>
      </w:r>
      <w:r>
        <w:rPr>
          <w:rFonts w:ascii="宋体" w:hAnsi="宋体"/>
          <w:bCs w:val="0"/>
          <w:sz w:val="24"/>
          <w:szCs w:val="24"/>
        </w:rPr>
        <w:t>输送机</w:t>
      </w:r>
    </w:p>
    <w:p>
      <w:pPr>
        <w:numPr>
          <w:ilvl w:val="0"/>
          <w:numId w:val="12"/>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乙方提供的设备应功能完整、技术先进。能满足人身安全和劳动保护条件；</w:t>
      </w:r>
    </w:p>
    <w:p>
      <w:pPr>
        <w:numPr>
          <w:ilvl w:val="0"/>
          <w:numId w:val="12"/>
        </w:numPr>
        <w:autoSpaceDE w:val="0"/>
        <w:autoSpaceDN w:val="0"/>
        <w:adjustRightInd w:val="0"/>
        <w:spacing w:line="360" w:lineRule="auto"/>
        <w:ind w:lef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螺旋输送机要求有可靠密封，运转过程中不得出现泄漏等情况；</w:t>
      </w:r>
    </w:p>
    <w:p>
      <w:pPr>
        <w:numPr>
          <w:ilvl w:val="0"/>
          <w:numId w:val="12"/>
        </w:numPr>
        <w:autoSpaceDE w:val="0"/>
        <w:autoSpaceDN w:val="0"/>
        <w:adjustRightInd w:val="0"/>
        <w:spacing w:line="360" w:lineRule="auto"/>
        <w:ind w:lef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所有设备均应正确设计和制造，在正常工况下安全、持续运行，不应有过度的应力、振动、温升、磨损、腐蚀、老化等问题；</w:t>
      </w:r>
    </w:p>
    <w:p>
      <w:pPr>
        <w:numPr>
          <w:ilvl w:val="0"/>
          <w:numId w:val="12"/>
        </w:numPr>
        <w:autoSpaceDE w:val="0"/>
        <w:autoSpaceDN w:val="0"/>
        <w:adjustRightInd w:val="0"/>
        <w:spacing w:line="360" w:lineRule="auto"/>
        <w:ind w:lef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设备零部件应采用先进、可靠的加工制造技术，螺旋应有良好的表面几何形状及合适的公差配合。驱动轴材料40Cr调质处理。螺旋轴吊挂轴承处应可靠密封防尘，充分考虑衬套的润滑条件，可从壳体外部加注润滑脂。吊轴承考虑保护措施防止被泥饼冲击；</w:t>
      </w:r>
    </w:p>
    <w:p>
      <w:pPr>
        <w:numPr>
          <w:ilvl w:val="0"/>
          <w:numId w:val="12"/>
        </w:numPr>
        <w:autoSpaceDE w:val="0"/>
        <w:autoSpaceDN w:val="0"/>
        <w:adjustRightInd w:val="0"/>
        <w:spacing w:line="360" w:lineRule="auto"/>
        <w:ind w:lef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所有外购配套件必须选用优质、节能、先进的产品。卖方对外购部件及材料进行检验，并对其质量负责； </w:t>
      </w:r>
    </w:p>
    <w:p>
      <w:pPr>
        <w:numPr>
          <w:ilvl w:val="0"/>
          <w:numId w:val="12"/>
        </w:numPr>
        <w:autoSpaceDE w:val="0"/>
        <w:autoSpaceDN w:val="0"/>
        <w:adjustRightInd w:val="0"/>
        <w:spacing w:line="360" w:lineRule="auto"/>
        <w:ind w:lef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确保焊接质量，进行必要的退火处理，消除内应力。不能有夹层、折叠、裂纹、结疤等缺陷；</w:t>
      </w:r>
    </w:p>
    <w:p>
      <w:pPr>
        <w:numPr>
          <w:ilvl w:val="0"/>
          <w:numId w:val="12"/>
        </w:numPr>
        <w:autoSpaceDE w:val="0"/>
        <w:autoSpaceDN w:val="0"/>
        <w:adjustRightInd w:val="0"/>
        <w:spacing w:line="360" w:lineRule="auto"/>
        <w:ind w:lef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减速机额定功率不小于电机功率的150%，使用系数≥1.3；</w:t>
      </w:r>
    </w:p>
    <w:p>
      <w:pPr>
        <w:numPr>
          <w:ilvl w:val="0"/>
          <w:numId w:val="12"/>
        </w:numPr>
        <w:autoSpaceDE w:val="0"/>
        <w:autoSpaceDN w:val="0"/>
        <w:adjustRightInd w:val="0"/>
        <w:spacing w:line="360" w:lineRule="auto"/>
        <w:ind w:lef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螺旋输送机实际输送能力不低于设计输送能力，</w:t>
      </w:r>
      <w:r>
        <w:rPr>
          <w:rFonts w:asciiTheme="minorEastAsia" w:hAnsiTheme="minorEastAsia" w:eastAsiaTheme="minorEastAsia" w:cstheme="minorEastAsia"/>
          <w:sz w:val="24"/>
          <w:szCs w:val="24"/>
        </w:rPr>
        <w:t>输送顺畅,无卡阻,无异响,可</w:t>
      </w:r>
      <w:r>
        <w:rPr>
          <w:rFonts w:hint="eastAsia" w:asciiTheme="minorEastAsia" w:hAnsiTheme="minorEastAsia" w:eastAsiaTheme="minorEastAsia" w:cstheme="minorEastAsia"/>
          <w:sz w:val="24"/>
          <w:szCs w:val="24"/>
        </w:rPr>
        <w:t>及时</w:t>
      </w:r>
      <w:r>
        <w:rPr>
          <w:rFonts w:asciiTheme="minorEastAsia" w:hAnsiTheme="minorEastAsia" w:eastAsiaTheme="minorEastAsia" w:cstheme="minorEastAsia"/>
          <w:sz w:val="24"/>
          <w:szCs w:val="24"/>
        </w:rPr>
        <w:t>将</w:t>
      </w:r>
      <w:r>
        <w:rPr>
          <w:rFonts w:hint="eastAsia" w:asciiTheme="minorEastAsia" w:hAnsiTheme="minorEastAsia" w:eastAsiaTheme="minorEastAsia" w:cstheme="minorEastAsia"/>
          <w:sz w:val="24"/>
          <w:szCs w:val="24"/>
        </w:rPr>
        <w:t>物料</w:t>
      </w:r>
      <w:r>
        <w:rPr>
          <w:rFonts w:asciiTheme="minorEastAsia" w:hAnsiTheme="minorEastAsia" w:eastAsiaTheme="minorEastAsia" w:cstheme="minorEastAsia"/>
          <w:sz w:val="24"/>
          <w:szCs w:val="24"/>
        </w:rPr>
        <w:t>输送至各</w:t>
      </w:r>
      <w:r>
        <w:rPr>
          <w:rFonts w:hint="eastAsia" w:asciiTheme="minorEastAsia" w:hAnsiTheme="minorEastAsia" w:eastAsiaTheme="minorEastAsia" w:cstheme="minorEastAsia"/>
          <w:sz w:val="24"/>
          <w:szCs w:val="24"/>
        </w:rPr>
        <w:t>输送</w:t>
      </w:r>
      <w:r>
        <w:rPr>
          <w:rFonts w:asciiTheme="minorEastAsia" w:hAnsiTheme="minorEastAsia" w:eastAsiaTheme="minorEastAsia" w:cstheme="minorEastAsia"/>
          <w:sz w:val="24"/>
          <w:szCs w:val="24"/>
        </w:rPr>
        <w:t>出口</w:t>
      </w:r>
      <w:r>
        <w:rPr>
          <w:rFonts w:hint="eastAsia" w:asciiTheme="minorEastAsia" w:hAnsiTheme="minorEastAsia" w:eastAsiaTheme="minorEastAsia" w:cstheme="minorEastAsia"/>
          <w:sz w:val="24"/>
          <w:szCs w:val="24"/>
        </w:rPr>
        <w:t>；</w:t>
      </w:r>
    </w:p>
    <w:p>
      <w:pPr>
        <w:numPr>
          <w:ilvl w:val="0"/>
          <w:numId w:val="12"/>
        </w:numPr>
        <w:autoSpaceDE w:val="0"/>
        <w:autoSpaceDN w:val="0"/>
        <w:adjustRightInd w:val="0"/>
        <w:spacing w:line="360" w:lineRule="auto"/>
        <w:ind w:lef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asciiTheme="minorEastAsia" w:hAnsiTheme="minorEastAsia" w:eastAsiaTheme="minorEastAsia" w:cstheme="minorEastAsia"/>
          <w:sz w:val="24"/>
          <w:szCs w:val="24"/>
        </w:rPr>
        <w:t>#压滤机排渣螺旋</w:t>
      </w:r>
      <w:r>
        <w:rPr>
          <w:rFonts w:hint="eastAsia" w:asciiTheme="minorEastAsia" w:hAnsiTheme="minorEastAsia" w:eastAsiaTheme="minorEastAsia" w:cstheme="minorEastAsia"/>
          <w:sz w:val="24"/>
          <w:szCs w:val="24"/>
        </w:rPr>
        <w:t>、2</w:t>
      </w:r>
      <w:r>
        <w:rPr>
          <w:rFonts w:asciiTheme="minorEastAsia" w:hAnsiTheme="minorEastAsia" w:eastAsiaTheme="minorEastAsia" w:cstheme="minorEastAsia"/>
          <w:sz w:val="24"/>
          <w:szCs w:val="24"/>
        </w:rPr>
        <w:t>#压滤机排渣螺旋</w:t>
      </w:r>
      <w:r>
        <w:rPr>
          <w:rFonts w:hint="eastAsia" w:asciiTheme="minorEastAsia" w:hAnsiTheme="minorEastAsia" w:eastAsiaTheme="minorEastAsia" w:cstheme="minorEastAsia"/>
          <w:sz w:val="24"/>
          <w:szCs w:val="24"/>
        </w:rPr>
        <w:t>、和沼渣料仓对接处需采用软连接对接，由乙方配作提供。</w:t>
      </w:r>
    </w:p>
    <w:p>
      <w:pPr>
        <w:pStyle w:val="5"/>
        <w:numPr>
          <w:ilvl w:val="3"/>
          <w:numId w:val="10"/>
        </w:numPr>
        <w:spacing w:before="0" w:after="0" w:line="360" w:lineRule="auto"/>
        <w:ind w:left="0" w:firstLine="0"/>
        <w:rPr>
          <w:rFonts w:hint="eastAsia" w:ascii="宋体" w:hAnsi="宋体"/>
          <w:bCs w:val="0"/>
          <w:sz w:val="24"/>
          <w:szCs w:val="24"/>
        </w:rPr>
      </w:pPr>
      <w:r>
        <w:rPr>
          <w:rFonts w:hint="eastAsia" w:ascii="宋体" w:hAnsi="宋体"/>
          <w:bCs w:val="0"/>
          <w:sz w:val="24"/>
          <w:szCs w:val="24"/>
        </w:rPr>
        <w:t>导料斗</w:t>
      </w:r>
    </w:p>
    <w:p>
      <w:pPr>
        <w:numPr>
          <w:ilvl w:val="0"/>
          <w:numId w:val="13"/>
        </w:numPr>
        <w:autoSpaceDE w:val="0"/>
        <w:autoSpaceDN w:val="0"/>
        <w:adjustRightInd w:val="0"/>
        <w:spacing w:line="360" w:lineRule="auto"/>
        <w:ind w:lef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应具备足够经验，充分考虑压滤机工作卸泥条件，设计可靠的料斗壳体结构和格栅破刀装置，保证设备结构可靠，可以承受泥饼冲击并完成对泥饼的初步破碎，满足螺旋输送机的物料要求。钢结构设计和制造执行GBJ17 、GB/J205标准的相关规定。</w:t>
      </w:r>
    </w:p>
    <w:p>
      <w:pPr>
        <w:numPr>
          <w:ilvl w:val="0"/>
          <w:numId w:val="13"/>
        </w:numPr>
        <w:autoSpaceDE w:val="0"/>
        <w:autoSpaceDN w:val="0"/>
        <w:adjustRightInd w:val="0"/>
        <w:spacing w:line="360" w:lineRule="auto"/>
        <w:ind w:lef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导料斗壳体采用6mm以上Q235B</w:t>
      </w:r>
      <w:r>
        <w:rPr>
          <w:rFonts w:asciiTheme="minorEastAsia" w:hAnsiTheme="minorEastAsia" w:eastAsiaTheme="minorEastAsia" w:cstheme="minorEastAsia"/>
          <w:sz w:val="24"/>
          <w:szCs w:val="24"/>
        </w:rPr>
        <w:t>+304不锈钢符合板或碳钢内衬不锈钢</w:t>
      </w:r>
      <w:r>
        <w:rPr>
          <w:rFonts w:hint="eastAsia" w:asciiTheme="minorEastAsia" w:hAnsiTheme="minorEastAsia" w:eastAsiaTheme="minorEastAsia" w:cstheme="minorEastAsia"/>
          <w:sz w:val="24"/>
          <w:szCs w:val="24"/>
        </w:rPr>
        <w:t>焊接，导料斗焊接牢固可靠，壳体外壳应布置足够加强筋保证结构刚度和强度，在泥饼冲击下不得出现变形和焊缝开裂等缺陷。底部出料口与输送机接料口配作，连接处应有硅胶垫减震。</w:t>
      </w:r>
    </w:p>
    <w:p>
      <w:pPr>
        <w:numPr>
          <w:ilvl w:val="0"/>
          <w:numId w:val="13"/>
        </w:numPr>
        <w:autoSpaceDE w:val="0"/>
        <w:autoSpaceDN w:val="0"/>
        <w:adjustRightInd w:val="0"/>
        <w:spacing w:line="360" w:lineRule="auto"/>
        <w:ind w:lef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导料斗采用分片制作，现场拼焊，焊接和切割方法执行GB50205钢结构结构施工质量验收规范的相关规定；</w:t>
      </w:r>
    </w:p>
    <w:p>
      <w:pPr>
        <w:numPr>
          <w:ilvl w:val="0"/>
          <w:numId w:val="13"/>
        </w:numPr>
        <w:autoSpaceDE w:val="0"/>
        <w:autoSpaceDN w:val="0"/>
        <w:adjustRightInd w:val="0"/>
        <w:spacing w:line="360" w:lineRule="auto"/>
        <w:ind w:lef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导料斗需在保证强度和可靠性的基础上在合适位置设置检修人孔；</w:t>
      </w:r>
    </w:p>
    <w:p>
      <w:pPr>
        <w:numPr>
          <w:ilvl w:val="0"/>
          <w:numId w:val="13"/>
        </w:numPr>
        <w:autoSpaceDE w:val="0"/>
        <w:autoSpaceDN w:val="0"/>
        <w:adjustRightInd w:val="0"/>
        <w:spacing w:line="360" w:lineRule="auto"/>
        <w:ind w:lef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导料斗侧面</w:t>
      </w:r>
      <w:r>
        <w:rPr>
          <w:rFonts w:asciiTheme="minorEastAsia" w:hAnsiTheme="minorEastAsia" w:eastAsiaTheme="minorEastAsia" w:cstheme="minorEastAsia"/>
          <w:sz w:val="24"/>
          <w:szCs w:val="24"/>
        </w:rPr>
        <w:t>设置</w:t>
      </w:r>
      <w:r>
        <w:rPr>
          <w:rFonts w:hint="eastAsia" w:asciiTheme="minorEastAsia" w:hAnsiTheme="minorEastAsia" w:eastAsiaTheme="minorEastAsia" w:cstheme="minorEastAsia"/>
          <w:sz w:val="24"/>
          <w:szCs w:val="24"/>
        </w:rPr>
        <w:t>若干</w:t>
      </w:r>
      <w:r>
        <w:rPr>
          <w:rFonts w:asciiTheme="minorEastAsia" w:hAnsiTheme="minorEastAsia" w:eastAsiaTheme="minorEastAsia" w:cstheme="minorEastAsia"/>
          <w:sz w:val="24"/>
          <w:szCs w:val="24"/>
        </w:rPr>
        <w:t>除臭</w:t>
      </w:r>
      <w:r>
        <w:rPr>
          <w:rFonts w:hint="eastAsia" w:asciiTheme="minorEastAsia" w:hAnsiTheme="minorEastAsia" w:eastAsiaTheme="minorEastAsia" w:cstheme="minorEastAsia"/>
          <w:sz w:val="24"/>
          <w:szCs w:val="24"/>
        </w:rPr>
        <w:t>风口</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可</w:t>
      </w:r>
      <w:r>
        <w:rPr>
          <w:rFonts w:asciiTheme="minorEastAsia" w:hAnsiTheme="minorEastAsia" w:eastAsiaTheme="minorEastAsia" w:cstheme="minorEastAsia"/>
          <w:sz w:val="24"/>
          <w:szCs w:val="24"/>
        </w:rPr>
        <w:t>对导料斗空间内臭气有效去除，不得影响落料</w:t>
      </w:r>
      <w:r>
        <w:rPr>
          <w:rFonts w:hint="eastAsia" w:asciiTheme="minorEastAsia" w:hAnsiTheme="minorEastAsia" w:eastAsiaTheme="minorEastAsia" w:cstheme="minorEastAsia"/>
          <w:sz w:val="24"/>
          <w:szCs w:val="24"/>
        </w:rPr>
        <w:t>或</w:t>
      </w:r>
      <w:r>
        <w:rPr>
          <w:rFonts w:asciiTheme="minorEastAsia" w:hAnsiTheme="minorEastAsia" w:eastAsiaTheme="minorEastAsia" w:cstheme="minorEastAsia"/>
          <w:sz w:val="24"/>
          <w:szCs w:val="24"/>
        </w:rPr>
        <w:t>由于物料堵塞风口</w:t>
      </w:r>
      <w:r>
        <w:rPr>
          <w:rFonts w:hint="eastAsia" w:asciiTheme="minorEastAsia" w:hAnsiTheme="minorEastAsia" w:eastAsiaTheme="minorEastAsia" w:cstheme="minorEastAsia"/>
          <w:sz w:val="24"/>
          <w:szCs w:val="24"/>
        </w:rPr>
        <w:t>，</w:t>
      </w:r>
      <w:r>
        <w:rPr>
          <w:rFonts w:asciiTheme="minorEastAsia" w:hAnsiTheme="minorEastAsia" w:eastAsiaTheme="minorEastAsia" w:cstheme="minorEastAsia"/>
          <w:sz w:val="24"/>
          <w:szCs w:val="24"/>
        </w:rPr>
        <w:t>详见提资图纸，供应商。</w:t>
      </w:r>
    </w:p>
    <w:p>
      <w:pPr>
        <w:pStyle w:val="5"/>
        <w:numPr>
          <w:ilvl w:val="3"/>
          <w:numId w:val="10"/>
        </w:numPr>
        <w:spacing w:before="0" w:after="0" w:line="360" w:lineRule="auto"/>
        <w:ind w:left="0" w:firstLine="0"/>
        <w:rPr>
          <w:rFonts w:hint="eastAsia" w:ascii="宋体" w:hAnsi="宋体"/>
          <w:bCs w:val="0"/>
          <w:sz w:val="24"/>
          <w:szCs w:val="24"/>
        </w:rPr>
      </w:pPr>
      <w:r>
        <w:rPr>
          <w:rFonts w:hint="eastAsia" w:ascii="宋体" w:hAnsi="宋体"/>
          <w:bCs w:val="0"/>
          <w:sz w:val="24"/>
          <w:szCs w:val="24"/>
        </w:rPr>
        <w:t>沼渣</w:t>
      </w:r>
      <w:r>
        <w:rPr>
          <w:rFonts w:ascii="宋体" w:hAnsi="宋体"/>
          <w:bCs w:val="0"/>
          <w:sz w:val="24"/>
          <w:szCs w:val="24"/>
        </w:rPr>
        <w:t>料仓</w:t>
      </w:r>
    </w:p>
    <w:p>
      <w:pPr>
        <w:numPr>
          <w:ilvl w:val="0"/>
          <w:numId w:val="14"/>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沼渣料仓和滑架钢结构部分设计和制造参考GBJ17 、GB/J205标准的相关规定。可满足存储物料的容积要求，保证结构强度和刚度。</w:t>
      </w:r>
    </w:p>
    <w:p>
      <w:pPr>
        <w:numPr>
          <w:ilvl w:val="0"/>
          <w:numId w:val="14"/>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料仓侧壁采用8mm钢板，顶盖6mm钢板</w:t>
      </w:r>
      <w:r>
        <w:rPr>
          <w:rFonts w:asciiTheme="minorEastAsia" w:hAnsiTheme="minorEastAsia" w:eastAsiaTheme="minorEastAsia" w:cstheme="minorEastAsia"/>
          <w:sz w:val="24"/>
          <w:szCs w:val="24"/>
        </w:rPr>
        <w:t>，采用Q235B+304不锈钢符合板或内衬不锈钢</w:t>
      </w:r>
      <w:r>
        <w:rPr>
          <w:rFonts w:hint="eastAsia" w:asciiTheme="minorEastAsia" w:hAnsiTheme="minorEastAsia" w:eastAsiaTheme="minorEastAsia" w:cstheme="minorEastAsia"/>
          <w:sz w:val="24"/>
          <w:szCs w:val="24"/>
        </w:rPr>
        <w:t>,加强筋及结构骨架由供应商设计；采用分片制作，现场拼焊，焊接和切割方法执行GB50205钢结构结构施工质量验收规范的相关规定；</w:t>
      </w:r>
    </w:p>
    <w:p>
      <w:pPr>
        <w:numPr>
          <w:ilvl w:val="0"/>
          <w:numId w:val="14"/>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料仓采用方形锥底结构，采用颚式阀卸料。储存的污泥仅靠重力自动下落，料仓上部设滑架推平结构保证料仓堆料</w:t>
      </w:r>
      <w:r>
        <w:rPr>
          <w:rFonts w:asciiTheme="minorEastAsia" w:hAnsiTheme="minorEastAsia" w:eastAsiaTheme="minorEastAsia" w:cstheme="minorEastAsia"/>
          <w:sz w:val="24"/>
          <w:szCs w:val="24"/>
        </w:rPr>
        <w:t>摊铺</w:t>
      </w:r>
      <w:r>
        <w:rPr>
          <w:rFonts w:hint="eastAsia" w:asciiTheme="minorEastAsia" w:hAnsiTheme="minorEastAsia" w:eastAsiaTheme="minorEastAsia" w:cstheme="minorEastAsia"/>
          <w:sz w:val="24"/>
          <w:szCs w:val="24"/>
        </w:rPr>
        <w:t>均匀，锥底斜面设置斜滑架辅助卸料破桥装置，以往复运动强制架桥无法掉落的污泥卸出；</w:t>
      </w:r>
    </w:p>
    <w:p>
      <w:pPr>
        <w:numPr>
          <w:ilvl w:val="0"/>
          <w:numId w:val="14"/>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颚式阀和滑架驱动单元:液压缸缸体采用无缝钢管制造，具有足够的强度和刚度，足以承受液压力、负载力和意外的冲击力，并保证液压缸的密封性、运行平稳性和耐用性。所有紧固件采用高强度结构钢制造。</w:t>
      </w:r>
    </w:p>
    <w:p>
      <w:pPr>
        <w:numPr>
          <w:ilvl w:val="0"/>
          <w:numId w:val="14"/>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超声波料位计：指示仓内料位，</w:t>
      </w:r>
      <w:r>
        <w:rPr>
          <w:rFonts w:asciiTheme="minorEastAsia" w:hAnsiTheme="minorEastAsia" w:eastAsiaTheme="minorEastAsia" w:cstheme="minorEastAsia"/>
          <w:sz w:val="24"/>
          <w:szCs w:val="24"/>
        </w:rPr>
        <w:t>甲方上位机可视料位状态；</w:t>
      </w:r>
      <w:r>
        <w:rPr>
          <w:rFonts w:hint="eastAsia" w:asciiTheme="minorEastAsia" w:hAnsiTheme="minorEastAsia" w:eastAsiaTheme="minorEastAsia" w:cstheme="minorEastAsia"/>
          <w:sz w:val="24"/>
          <w:szCs w:val="24"/>
        </w:rPr>
        <w:t>在适当的料位可控制推平滑架的启停，并在接近满仓时报警、提示输送机及压滤机卸料程序停机。（供应商设计滑架启停的料位高度）；</w:t>
      </w:r>
    </w:p>
    <w:p>
      <w:pPr>
        <w:numPr>
          <w:ilvl w:val="0"/>
          <w:numId w:val="14"/>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料仓顶部需设计检修人孔，负压引风口。配套设置爬梯和护栏，方便人员上下操作。栏杆高度不低于1100mm，立柱采用38mm钢管。栏杆下部应设100mm踢脚板。栏杆和料仓连接可靠；</w:t>
      </w:r>
    </w:p>
    <w:p>
      <w:pPr>
        <w:numPr>
          <w:ilvl w:val="0"/>
          <w:numId w:val="14"/>
        </w:numPr>
        <w:autoSpaceDE w:val="0"/>
        <w:autoSpaceDN w:val="0"/>
        <w:adjustRightInd w:val="0"/>
        <w:spacing w:line="360" w:lineRule="auto"/>
        <w:jc w:val="left"/>
        <w:rPr>
          <w:rFonts w:hint="eastAsia" w:asciiTheme="minorEastAsia" w:hAnsiTheme="minorEastAsia" w:eastAsiaTheme="minorEastAsia" w:cstheme="minorEastAsia"/>
          <w:b/>
          <w:bCs/>
          <w:sz w:val="24"/>
          <w:szCs w:val="24"/>
          <w:highlight w:val="yellow"/>
        </w:rPr>
      </w:pPr>
      <w:r>
        <w:rPr>
          <w:rFonts w:hint="eastAsia" w:asciiTheme="minorEastAsia" w:hAnsiTheme="minorEastAsia" w:eastAsiaTheme="minorEastAsia" w:cstheme="minorEastAsia"/>
          <w:b/>
          <w:bCs/>
          <w:sz w:val="24"/>
          <w:szCs w:val="24"/>
          <w:highlight w:val="yellow"/>
        </w:rPr>
        <w:t>料仓</w:t>
      </w:r>
      <w:r>
        <w:rPr>
          <w:rFonts w:asciiTheme="minorEastAsia" w:hAnsiTheme="minorEastAsia" w:eastAsiaTheme="minorEastAsia" w:cstheme="minorEastAsia"/>
          <w:b/>
          <w:bCs/>
          <w:sz w:val="24"/>
          <w:szCs w:val="24"/>
          <w:highlight w:val="yellow"/>
        </w:rPr>
        <w:t>腭式阀出口处需设计</w:t>
      </w:r>
      <w:r>
        <w:rPr>
          <w:rFonts w:hint="eastAsia" w:asciiTheme="minorEastAsia" w:hAnsiTheme="minorEastAsia" w:eastAsiaTheme="minorEastAsia" w:cstheme="minorEastAsia"/>
          <w:b/>
          <w:bCs/>
          <w:sz w:val="24"/>
          <w:szCs w:val="24"/>
          <w:highlight w:val="yellow"/>
        </w:rPr>
        <w:t>接液</w:t>
      </w:r>
      <w:r>
        <w:rPr>
          <w:rFonts w:asciiTheme="minorEastAsia" w:hAnsiTheme="minorEastAsia" w:eastAsiaTheme="minorEastAsia" w:cstheme="minorEastAsia"/>
          <w:b/>
          <w:bCs/>
          <w:sz w:val="24"/>
          <w:szCs w:val="24"/>
          <w:highlight w:val="yellow"/>
        </w:rPr>
        <w:t>装置或者水密结构，防止沼渣物料发酵产生的水</w:t>
      </w:r>
      <w:r>
        <w:rPr>
          <w:rFonts w:hint="eastAsia" w:asciiTheme="minorEastAsia" w:hAnsiTheme="minorEastAsia" w:eastAsiaTheme="minorEastAsia" w:cstheme="minorEastAsia"/>
          <w:b/>
          <w:bCs/>
          <w:sz w:val="24"/>
          <w:szCs w:val="24"/>
          <w:highlight w:val="yellow"/>
        </w:rPr>
        <w:t>分</w:t>
      </w:r>
      <w:r>
        <w:rPr>
          <w:rFonts w:asciiTheme="minorEastAsia" w:hAnsiTheme="minorEastAsia" w:eastAsiaTheme="minorEastAsia" w:cstheme="minorEastAsia"/>
          <w:b/>
          <w:bCs/>
          <w:sz w:val="24"/>
          <w:szCs w:val="24"/>
          <w:highlight w:val="yellow"/>
        </w:rPr>
        <w:t>导致滴漏情况发生，</w:t>
      </w:r>
      <w:r>
        <w:rPr>
          <w:rFonts w:hint="eastAsia" w:asciiTheme="minorEastAsia" w:hAnsiTheme="minorEastAsia" w:eastAsiaTheme="minorEastAsia" w:cstheme="minorEastAsia"/>
          <w:b/>
          <w:bCs/>
          <w:sz w:val="24"/>
          <w:szCs w:val="24"/>
          <w:highlight w:val="yellow"/>
        </w:rPr>
        <w:t>投标</w:t>
      </w:r>
      <w:r>
        <w:rPr>
          <w:rFonts w:asciiTheme="minorEastAsia" w:hAnsiTheme="minorEastAsia" w:eastAsiaTheme="minorEastAsia" w:cstheme="minorEastAsia"/>
          <w:b/>
          <w:bCs/>
          <w:sz w:val="24"/>
          <w:szCs w:val="24"/>
          <w:highlight w:val="yellow"/>
        </w:rPr>
        <w:t>方案需要与</w:t>
      </w:r>
      <w:r>
        <w:rPr>
          <w:rFonts w:hint="eastAsia" w:asciiTheme="minorEastAsia" w:hAnsiTheme="minorEastAsia" w:eastAsiaTheme="minorEastAsia" w:cstheme="minorEastAsia"/>
          <w:b/>
          <w:bCs/>
          <w:sz w:val="24"/>
          <w:szCs w:val="24"/>
          <w:highlight w:val="yellow"/>
        </w:rPr>
        <w:t>甲方</w:t>
      </w:r>
      <w:r>
        <w:rPr>
          <w:rFonts w:asciiTheme="minorEastAsia" w:hAnsiTheme="minorEastAsia" w:eastAsiaTheme="minorEastAsia" w:cstheme="minorEastAsia"/>
          <w:b/>
          <w:bCs/>
          <w:sz w:val="24"/>
          <w:szCs w:val="24"/>
          <w:highlight w:val="yellow"/>
        </w:rPr>
        <w:t>技术充分沟通确认。</w:t>
      </w:r>
    </w:p>
    <w:p>
      <w:pPr>
        <w:pStyle w:val="5"/>
        <w:numPr>
          <w:ilvl w:val="3"/>
          <w:numId w:val="10"/>
        </w:numPr>
        <w:spacing w:before="0" w:after="0" w:line="360" w:lineRule="auto"/>
        <w:ind w:left="0" w:firstLine="0"/>
        <w:rPr>
          <w:rFonts w:hint="eastAsia" w:ascii="宋体" w:hAnsi="宋体"/>
          <w:bCs w:val="0"/>
          <w:sz w:val="24"/>
          <w:szCs w:val="24"/>
        </w:rPr>
      </w:pPr>
      <w:r>
        <w:rPr>
          <w:rFonts w:hint="eastAsia" w:ascii="宋体" w:hAnsi="宋体"/>
          <w:bCs w:val="0"/>
          <w:sz w:val="24"/>
          <w:szCs w:val="24"/>
        </w:rPr>
        <w:t>液压</w:t>
      </w:r>
      <w:r>
        <w:rPr>
          <w:rFonts w:ascii="宋体" w:hAnsi="宋体"/>
          <w:bCs w:val="0"/>
          <w:sz w:val="24"/>
          <w:szCs w:val="24"/>
        </w:rPr>
        <w:t>系统</w:t>
      </w:r>
    </w:p>
    <w:p>
      <w:pPr>
        <w:numPr>
          <w:ilvl w:val="0"/>
          <w:numId w:val="15"/>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液压管路系统</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设计制造符合ISO4413标准。额定液压不大于</w:t>
      </w:r>
      <w:r>
        <w:rPr>
          <w:rFonts w:asciiTheme="minorEastAsia" w:hAnsiTheme="minorEastAsia" w:eastAsiaTheme="minorEastAsia" w:cstheme="minorEastAsia"/>
          <w:sz w:val="24"/>
          <w:szCs w:val="24"/>
        </w:rPr>
        <w:t>10</w:t>
      </w:r>
      <w:r>
        <w:rPr>
          <w:rFonts w:hint="eastAsia" w:asciiTheme="minorEastAsia" w:hAnsiTheme="minorEastAsia" w:eastAsiaTheme="minorEastAsia" w:cstheme="minorEastAsia"/>
          <w:sz w:val="24"/>
          <w:szCs w:val="24"/>
        </w:rPr>
        <w:t>Mpa.液压装置的油泵、油箱、油滤、各类控制阀、各类指示仪表和配电系统均为一成套装置</w:t>
      </w:r>
      <w:r>
        <w:rPr>
          <w:rFonts w:asciiTheme="minorEastAsia" w:hAnsiTheme="minorEastAsia" w:eastAsiaTheme="minorEastAsia" w:cstheme="minorEastAsia"/>
          <w:sz w:val="24"/>
          <w:szCs w:val="24"/>
        </w:rPr>
        <w:t>。带</w:t>
      </w:r>
      <w:r>
        <w:rPr>
          <w:rFonts w:hint="eastAsia" w:asciiTheme="minorEastAsia" w:hAnsiTheme="minorEastAsia" w:eastAsiaTheme="minorEastAsia" w:cstheme="minorEastAsia"/>
          <w:sz w:val="24"/>
          <w:szCs w:val="24"/>
        </w:rPr>
        <w:t>可靠的过载保护回路，在任何工况条件下均能安全、有效和可靠运行，不会使液压装置收到损坏</w:t>
      </w:r>
      <w:r>
        <w:rPr>
          <w:rFonts w:asciiTheme="minorEastAsia" w:hAnsiTheme="minorEastAsia" w:eastAsiaTheme="minorEastAsia" w:cstheme="minorEastAsia"/>
          <w:sz w:val="24"/>
          <w:szCs w:val="24"/>
        </w:rPr>
        <w:t>；</w:t>
      </w:r>
    </w:p>
    <w:p>
      <w:pPr>
        <w:numPr>
          <w:ilvl w:val="0"/>
          <w:numId w:val="15"/>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清洁度：液压系统清洁度等级</w:t>
      </w:r>
      <w:r>
        <w:rPr>
          <w:rFonts w:hint="eastAsia" w:asciiTheme="minorEastAsia" w:hAnsiTheme="minorEastAsia" w:eastAsiaTheme="minorEastAsia" w:cstheme="minorEastAsia"/>
          <w:sz w:val="24"/>
          <w:szCs w:val="24"/>
        </w:rPr>
        <w:t>不高于</w:t>
      </w:r>
      <w:r>
        <w:rPr>
          <w:rFonts w:asciiTheme="minorEastAsia" w:hAnsiTheme="minorEastAsia" w:eastAsiaTheme="minorEastAsia" w:cstheme="minorEastAsia"/>
          <w:sz w:val="24"/>
          <w:szCs w:val="24"/>
        </w:rPr>
        <w:t xml:space="preserve">NAS1638 </w:t>
      </w:r>
      <w:r>
        <w:rPr>
          <w:rFonts w:hint="eastAsia" w:asciiTheme="minorEastAsia" w:hAnsiTheme="minorEastAsia" w:eastAsiaTheme="minorEastAsia" w:cstheme="minorEastAsia"/>
          <w:sz w:val="24"/>
          <w:szCs w:val="24"/>
        </w:rPr>
        <w:t>规定的</w:t>
      </w:r>
      <w:r>
        <w:rPr>
          <w:rFonts w:asciiTheme="minorEastAsia" w:hAnsiTheme="minorEastAsia" w:eastAsiaTheme="minorEastAsia" w:cstheme="minorEastAsia"/>
          <w:sz w:val="24"/>
          <w:szCs w:val="24"/>
        </w:rPr>
        <w:t>9</w:t>
      </w:r>
      <w:r>
        <w:rPr>
          <w:rFonts w:hint="eastAsia" w:asciiTheme="minorEastAsia" w:hAnsiTheme="minorEastAsia" w:eastAsiaTheme="minorEastAsia" w:cstheme="minorEastAsia"/>
          <w:sz w:val="24"/>
          <w:szCs w:val="24"/>
        </w:rPr>
        <w:t>级</w:t>
      </w:r>
      <w:r>
        <w:rPr>
          <w:rFonts w:asciiTheme="minorEastAsia" w:hAnsiTheme="minorEastAsia" w:eastAsiaTheme="minorEastAsia" w:cstheme="minorEastAsia"/>
          <w:sz w:val="24"/>
          <w:szCs w:val="24"/>
        </w:rPr>
        <w:t>；油泵吸口及回油均要安装过滤器，回油过滤器带堵塞发讯报警装置，压力损失≤0.35Mpa；</w:t>
      </w:r>
    </w:p>
    <w:p>
      <w:pPr>
        <w:numPr>
          <w:ilvl w:val="0"/>
          <w:numId w:val="15"/>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油箱内表面的处理可以采用酸洗后磷化、喷丸或喷砂后喷镀等化学稳定性和物理稳定性优异的方法，不允许采用涂防锈耐油漆的方法处理</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油箱外表面平整光滑</w:t>
      </w:r>
      <w:r>
        <w:rPr>
          <w:rFonts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rPr>
        <w:t>外观涂装无损伤</w:t>
      </w:r>
      <w:r>
        <w:rPr>
          <w:rFonts w:asciiTheme="minorEastAsia" w:hAnsiTheme="minorEastAsia" w:eastAsiaTheme="minorEastAsia" w:cstheme="minorEastAsia"/>
          <w:sz w:val="24"/>
          <w:szCs w:val="24"/>
        </w:rPr>
        <w:t>；油箱地面采用斜面结构，维护清理时，方便排油；</w:t>
      </w:r>
    </w:p>
    <w:p>
      <w:pPr>
        <w:numPr>
          <w:ilvl w:val="0"/>
          <w:numId w:val="15"/>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液压站配置</w:t>
      </w:r>
      <w:r>
        <w:rPr>
          <w:rFonts w:hint="eastAsia" w:asciiTheme="minorEastAsia" w:hAnsiTheme="minorEastAsia" w:eastAsiaTheme="minorEastAsia" w:cstheme="minorEastAsia"/>
          <w:sz w:val="24"/>
          <w:szCs w:val="24"/>
        </w:rPr>
        <w:t>液位计和温度计，便于观察液位和油温</w:t>
      </w:r>
      <w:r>
        <w:rPr>
          <w:rFonts w:asciiTheme="minorEastAsia" w:hAnsiTheme="minorEastAsia" w:eastAsiaTheme="minorEastAsia" w:cstheme="minorEastAsia"/>
          <w:sz w:val="24"/>
          <w:szCs w:val="24"/>
        </w:rPr>
        <w:t>，液位控制继电器，带有高低液位报警；</w:t>
      </w:r>
    </w:p>
    <w:p>
      <w:pPr>
        <w:numPr>
          <w:ilvl w:val="0"/>
          <w:numId w:val="15"/>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集成块采用叠加板式阀件结构，</w:t>
      </w:r>
      <w:r>
        <w:rPr>
          <w:rFonts w:hint="eastAsia" w:asciiTheme="minorEastAsia" w:hAnsiTheme="minorEastAsia" w:eastAsiaTheme="minorEastAsia" w:cstheme="minorEastAsia"/>
          <w:sz w:val="24"/>
          <w:szCs w:val="24"/>
        </w:rPr>
        <w:t>集成油路块上</w:t>
      </w:r>
      <w:r>
        <w:rPr>
          <w:rFonts w:asciiTheme="minorEastAsia" w:hAnsiTheme="minorEastAsia" w:eastAsiaTheme="minorEastAsia" w:cstheme="minorEastAsia"/>
          <w:sz w:val="24"/>
          <w:szCs w:val="24"/>
        </w:rPr>
        <w:t>外部接管</w:t>
      </w:r>
      <w:r>
        <w:rPr>
          <w:rFonts w:hint="eastAsia" w:asciiTheme="minorEastAsia" w:hAnsiTheme="minorEastAsia" w:eastAsiaTheme="minorEastAsia" w:cstheme="minorEastAsia"/>
          <w:sz w:val="24"/>
          <w:szCs w:val="24"/>
        </w:rPr>
        <w:t>油口</w:t>
      </w:r>
      <w:r>
        <w:rPr>
          <w:rFonts w:asciiTheme="minorEastAsia" w:hAnsiTheme="minorEastAsia" w:eastAsiaTheme="minorEastAsia" w:cstheme="minorEastAsia"/>
          <w:sz w:val="24"/>
          <w:szCs w:val="24"/>
        </w:rPr>
        <w:t>及测压点</w:t>
      </w:r>
      <w:r>
        <w:rPr>
          <w:rFonts w:hint="eastAsia" w:asciiTheme="minorEastAsia" w:hAnsiTheme="minorEastAsia" w:eastAsiaTheme="minorEastAsia" w:cstheme="minorEastAsia"/>
          <w:sz w:val="24"/>
          <w:szCs w:val="24"/>
        </w:rPr>
        <w:t>应</w:t>
      </w:r>
      <w:r>
        <w:rPr>
          <w:rFonts w:asciiTheme="minorEastAsia" w:hAnsiTheme="minorEastAsia" w:eastAsiaTheme="minorEastAsia" w:cstheme="minorEastAsia"/>
          <w:sz w:val="24"/>
          <w:szCs w:val="24"/>
        </w:rPr>
        <w:t>打上</w:t>
      </w:r>
      <w:r>
        <w:rPr>
          <w:rFonts w:hint="eastAsia" w:asciiTheme="minorEastAsia" w:hAnsiTheme="minorEastAsia" w:eastAsiaTheme="minorEastAsia" w:cstheme="minorEastAsia"/>
          <w:sz w:val="24"/>
          <w:szCs w:val="24"/>
        </w:rPr>
        <w:t>相应</w:t>
      </w:r>
      <w:r>
        <w:rPr>
          <w:rFonts w:asciiTheme="minorEastAsia" w:hAnsiTheme="minorEastAsia" w:eastAsiaTheme="minorEastAsia" w:cstheme="minorEastAsia"/>
          <w:sz w:val="24"/>
          <w:szCs w:val="24"/>
        </w:rPr>
        <w:t>钢印，及</w:t>
      </w:r>
      <w:r>
        <w:rPr>
          <w:rFonts w:hint="eastAsia" w:asciiTheme="minorEastAsia" w:hAnsiTheme="minorEastAsia" w:eastAsiaTheme="minorEastAsia" w:cstheme="minorEastAsia"/>
          <w:sz w:val="24"/>
          <w:szCs w:val="24"/>
        </w:rPr>
        <w:t>接线标识</w:t>
      </w:r>
      <w:r>
        <w:rPr>
          <w:rFonts w:asciiTheme="minorEastAsia" w:hAnsiTheme="minorEastAsia" w:eastAsiaTheme="minorEastAsia" w:cstheme="minorEastAsia"/>
          <w:sz w:val="24"/>
          <w:szCs w:val="24"/>
        </w:rPr>
        <w:t>要与原理图一致，对应有液压锁的回路，电磁换向阀应采用Y型中位方式，</w:t>
      </w:r>
      <w:r>
        <w:rPr>
          <w:rFonts w:hint="eastAsia" w:asciiTheme="minorEastAsia" w:hAnsiTheme="minorEastAsia" w:eastAsiaTheme="minorEastAsia" w:cstheme="minorEastAsia"/>
          <w:sz w:val="24"/>
          <w:szCs w:val="24"/>
        </w:rPr>
        <w:t>所有电磁阀采用</w:t>
      </w:r>
      <w:r>
        <w:rPr>
          <w:rFonts w:asciiTheme="minorEastAsia" w:hAnsiTheme="minorEastAsia" w:eastAsiaTheme="minorEastAsia" w:cstheme="minorEastAsia"/>
          <w:sz w:val="24"/>
          <w:szCs w:val="24"/>
        </w:rPr>
        <w:t>DC24V</w:t>
      </w:r>
      <w:r>
        <w:rPr>
          <w:rFonts w:hint="eastAsia" w:asciiTheme="minorEastAsia" w:hAnsiTheme="minorEastAsia" w:eastAsiaTheme="minorEastAsia" w:cstheme="minorEastAsia"/>
          <w:sz w:val="24"/>
          <w:szCs w:val="24"/>
        </w:rPr>
        <w:t>电源，电磁阀插头采用带灯指示，接线端具备防水防尘密封</w:t>
      </w:r>
      <w:r>
        <w:rPr>
          <w:rFonts w:asciiTheme="minorEastAsia" w:hAnsiTheme="minorEastAsia" w:eastAsiaTheme="minorEastAsia" w:cstheme="minorEastAsia"/>
          <w:sz w:val="24"/>
          <w:szCs w:val="24"/>
        </w:rPr>
        <w:t>；</w:t>
      </w:r>
    </w:p>
    <w:p>
      <w:pPr>
        <w:numPr>
          <w:ilvl w:val="0"/>
          <w:numId w:val="15"/>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液压管、管道接头均为螺纹连接，内壁清洁光滑</w:t>
      </w:r>
      <w:r>
        <w:rPr>
          <w:rFonts w:asciiTheme="minorEastAsia" w:hAnsiTheme="minorEastAsia" w:eastAsiaTheme="minorEastAsia" w:cstheme="minorEastAsia"/>
          <w:sz w:val="24"/>
          <w:szCs w:val="24"/>
        </w:rPr>
        <w:t>，采用卡套式24°锥密封接头或焊接式管接头，焊接方式采用氩弧焊</w:t>
      </w:r>
      <w:r>
        <w:rPr>
          <w:rFonts w:hint="eastAsia" w:asciiTheme="minorEastAsia" w:hAnsiTheme="minorEastAsia" w:eastAsiaTheme="minorEastAsia" w:cstheme="minorEastAsia"/>
          <w:sz w:val="24"/>
          <w:szCs w:val="24"/>
        </w:rPr>
        <w:t>。管道可沿钢架和料仓侧壁铺设</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管路和电缆布置要规整，美观，电缆要布置线槽；</w:t>
      </w:r>
    </w:p>
    <w:p>
      <w:pPr>
        <w:numPr>
          <w:ilvl w:val="0"/>
          <w:numId w:val="15"/>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液压油</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具有较好的抗磨特性和粘度，油料污染等级不大于ISO4406的1</w:t>
      </w:r>
      <w:r>
        <w:rPr>
          <w:rFonts w:asciiTheme="minorEastAsia" w:hAnsiTheme="minorEastAsia" w:eastAsiaTheme="minorEastAsia" w:cstheme="minorEastAsia"/>
          <w:sz w:val="24"/>
          <w:szCs w:val="24"/>
        </w:rPr>
        <w:t>8</w:t>
      </w:r>
      <w:r>
        <w:rPr>
          <w:rFonts w:hint="eastAsia" w:asciiTheme="minorEastAsia" w:hAnsiTheme="minorEastAsia" w:eastAsiaTheme="minorEastAsia" w:cstheme="minorEastAsia"/>
          <w:sz w:val="24"/>
          <w:szCs w:val="24"/>
        </w:rPr>
        <w:t>/1</w:t>
      </w:r>
      <w:r>
        <w:rPr>
          <w:rFonts w:asciiTheme="minorEastAsia" w:hAnsiTheme="minorEastAsia" w:eastAsiaTheme="minorEastAsia" w:cstheme="minorEastAsia"/>
          <w:sz w:val="24"/>
          <w:szCs w:val="24"/>
        </w:rPr>
        <w:t>5</w:t>
      </w:r>
      <w:r>
        <w:rPr>
          <w:rFonts w:hint="eastAsia" w:asciiTheme="minorEastAsia" w:hAnsiTheme="minorEastAsia" w:eastAsiaTheme="minorEastAsia" w:cstheme="minorEastAsia"/>
          <w:sz w:val="24"/>
          <w:szCs w:val="24"/>
        </w:rPr>
        <w:t>号</w:t>
      </w:r>
      <w:r>
        <w:rPr>
          <w:rFonts w:asciiTheme="minorEastAsia" w:hAnsiTheme="minorEastAsia" w:eastAsiaTheme="minorEastAsia" w:cstheme="minorEastAsia"/>
          <w:sz w:val="24"/>
          <w:szCs w:val="24"/>
        </w:rPr>
        <w:t>，选择长城卓力46#L-HM抗磨液压油（高压高清）；</w:t>
      </w:r>
    </w:p>
    <w:p>
      <w:pPr>
        <w:numPr>
          <w:ilvl w:val="0"/>
          <w:numId w:val="15"/>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性能测试：</w:t>
      </w:r>
      <w:r>
        <w:rPr>
          <w:rFonts w:hint="eastAsia" w:asciiTheme="minorEastAsia" w:hAnsiTheme="minorEastAsia" w:eastAsiaTheme="minorEastAsia" w:cstheme="minorEastAsia"/>
          <w:sz w:val="24"/>
          <w:szCs w:val="24"/>
        </w:rPr>
        <w:t>泵站的性能试验项目、试验方法及试验要求应符合JB/T6105-92中的要求</w:t>
      </w:r>
      <w:r>
        <w:rPr>
          <w:rFonts w:asciiTheme="minorEastAsia" w:hAnsiTheme="minorEastAsia" w:eastAsiaTheme="minorEastAsia" w:cstheme="minorEastAsia"/>
          <w:sz w:val="24"/>
          <w:szCs w:val="24"/>
        </w:rPr>
        <w:t>；出厂前需进行试机测试，</w:t>
      </w:r>
      <w:r>
        <w:rPr>
          <w:rFonts w:hint="eastAsia" w:asciiTheme="minorEastAsia" w:hAnsiTheme="minorEastAsia" w:eastAsiaTheme="minorEastAsia" w:cstheme="minorEastAsia"/>
          <w:sz w:val="24"/>
          <w:szCs w:val="24"/>
        </w:rPr>
        <w:t>不得泄漏</w:t>
      </w:r>
      <w:r>
        <w:rPr>
          <w:rFonts w:asciiTheme="minorEastAsia" w:hAnsiTheme="minorEastAsia" w:eastAsiaTheme="minorEastAsia" w:cstheme="minorEastAsia"/>
          <w:sz w:val="24"/>
          <w:szCs w:val="24"/>
        </w:rPr>
        <w:t>或渗油</w:t>
      </w:r>
      <w:r>
        <w:rPr>
          <w:rFonts w:hint="eastAsia" w:asciiTheme="minorEastAsia" w:hAnsiTheme="minorEastAsia" w:eastAsiaTheme="minorEastAsia" w:cstheme="minorEastAsia"/>
          <w:sz w:val="24"/>
          <w:szCs w:val="24"/>
        </w:rPr>
        <w:t>，动密封处的密封件使用寿命大于8000小时</w:t>
      </w:r>
      <w:r>
        <w:rPr>
          <w:rFonts w:asciiTheme="minorEastAsia" w:hAnsiTheme="minorEastAsia" w:eastAsiaTheme="minorEastAsia" w:cstheme="minorEastAsia"/>
          <w:sz w:val="24"/>
          <w:szCs w:val="24"/>
        </w:rPr>
        <w:t>；</w:t>
      </w:r>
    </w:p>
    <w:p>
      <w:pPr>
        <w:numPr>
          <w:ilvl w:val="0"/>
          <w:numId w:val="15"/>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元件品牌如下表：</w:t>
      </w:r>
    </w:p>
    <w:tbl>
      <w:tblPr>
        <w:tblStyle w:val="1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608"/>
        <w:gridCol w:w="2802"/>
        <w:gridCol w:w="3329"/>
        <w:gridCol w:w="2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48" w:hRule="atLeast"/>
        </w:trPr>
        <w:tc>
          <w:tcPr>
            <w:tcW w:w="5000" w:type="pct"/>
            <w:gridSpan w:val="4"/>
            <w:tcBorders>
              <w:top w:val="single" w:color="auto" w:sz="4" w:space="0"/>
              <w:left w:val="single" w:color="auto" w:sz="4" w:space="0"/>
              <w:bottom w:val="single" w:color="auto" w:sz="4" w:space="0"/>
              <w:right w:val="single" w:color="auto" w:sz="4" w:space="0"/>
            </w:tcBorders>
            <w:shd w:val="clear" w:color="auto" w:fill="auto"/>
            <w:vAlign w:val="center"/>
          </w:tcPr>
          <w:p>
            <w:pPr>
              <w:spacing w:line="403" w:lineRule="exact"/>
              <w:ind w:left="80"/>
              <w:jc w:val="center"/>
              <w:rPr>
                <w:sz w:val="24"/>
                <w:szCs w:val="24"/>
              </w:rPr>
            </w:pPr>
            <w:r>
              <w:rPr>
                <w:rFonts w:hint="eastAsia" w:cs="宋体"/>
                <w:sz w:val="24"/>
                <w:szCs w:val="24"/>
                <w:lang w:bidi="ar"/>
              </w:rPr>
              <w:t>液压配件品牌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40" w:hRule="atLeast"/>
        </w:trPr>
        <w:tc>
          <w:tcPr>
            <w:tcW w:w="335"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385" w:lineRule="exact"/>
              <w:ind w:left="100"/>
              <w:jc w:val="center"/>
              <w:rPr>
                <w:sz w:val="24"/>
                <w:szCs w:val="24"/>
              </w:rPr>
            </w:pPr>
            <w:r>
              <w:rPr>
                <w:rFonts w:hint="eastAsia" w:ascii="宋体" w:hAnsi="宋体" w:cs="宋体"/>
                <w:color w:val="000000"/>
                <w:sz w:val="24"/>
                <w:szCs w:val="24"/>
                <w:lang w:bidi="ar"/>
              </w:rPr>
              <w:t>序号</w:t>
            </w:r>
          </w:p>
        </w:tc>
        <w:tc>
          <w:tcPr>
            <w:tcW w:w="1541"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385" w:lineRule="exact"/>
              <w:ind w:left="100"/>
              <w:jc w:val="center"/>
              <w:rPr>
                <w:sz w:val="24"/>
                <w:szCs w:val="24"/>
              </w:rPr>
            </w:pPr>
            <w:r>
              <w:rPr>
                <w:rFonts w:hint="eastAsia" w:ascii="宋体" w:hAnsi="宋体" w:cs="宋体"/>
                <w:color w:val="000000"/>
                <w:sz w:val="24"/>
                <w:szCs w:val="24"/>
                <w:lang w:bidi="ar"/>
              </w:rPr>
              <w:t>名称</w:t>
            </w:r>
          </w:p>
        </w:tc>
        <w:tc>
          <w:tcPr>
            <w:tcW w:w="1831"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403" w:lineRule="exact"/>
              <w:ind w:left="80"/>
              <w:jc w:val="center"/>
              <w:rPr>
                <w:sz w:val="24"/>
                <w:szCs w:val="24"/>
              </w:rPr>
            </w:pPr>
            <w:r>
              <w:rPr>
                <w:rFonts w:hint="eastAsia" w:ascii="宋体" w:hAnsi="宋体" w:cs="宋体"/>
                <w:color w:val="000000"/>
                <w:sz w:val="24"/>
                <w:szCs w:val="24"/>
                <w:lang w:bidi="ar"/>
              </w:rPr>
              <w:t>品牌</w:t>
            </w:r>
          </w:p>
        </w:tc>
        <w:tc>
          <w:tcPr>
            <w:tcW w:w="1292" w:type="pct"/>
            <w:tcBorders>
              <w:top w:val="single" w:color="auto" w:sz="4" w:space="0"/>
              <w:left w:val="single" w:color="auto" w:sz="4" w:space="0"/>
              <w:bottom w:val="single" w:color="auto" w:sz="4" w:space="0"/>
              <w:right w:val="single" w:color="auto" w:sz="4" w:space="0"/>
            </w:tcBorders>
            <w:shd w:val="clear" w:color="auto" w:fill="auto"/>
          </w:tcPr>
          <w:p>
            <w:pPr>
              <w:spacing w:line="403" w:lineRule="exact"/>
              <w:ind w:left="80"/>
              <w:jc w:val="center"/>
              <w:rPr>
                <w:rFonts w:hint="eastAsia" w:ascii="宋体" w:hAnsi="宋体" w:cs="宋体"/>
                <w:color w:val="000000"/>
                <w:sz w:val="24"/>
                <w:szCs w:val="24"/>
              </w:rPr>
            </w:pPr>
            <w:r>
              <w:rPr>
                <w:rFonts w:hint="eastAsia" w:ascii="宋体" w:hAnsi="宋体" w:cs="宋体"/>
                <w:color w:val="000000"/>
                <w:sz w:val="24"/>
                <w:szCs w:val="24"/>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40" w:hRule="atLeast"/>
        </w:trPr>
        <w:tc>
          <w:tcPr>
            <w:tcW w:w="335"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385" w:lineRule="exact"/>
              <w:ind w:left="100"/>
              <w:jc w:val="center"/>
              <w:rPr>
                <w:rFonts w:hint="eastAsia" w:ascii="宋体" w:hAnsi="宋体" w:cs="宋体"/>
                <w:color w:val="000000"/>
                <w:sz w:val="24"/>
                <w:szCs w:val="24"/>
              </w:rPr>
            </w:pPr>
            <w:r>
              <w:rPr>
                <w:rFonts w:hint="eastAsia" w:ascii="宋体" w:hAnsi="宋体" w:cs="宋体"/>
                <w:color w:val="000000"/>
                <w:sz w:val="24"/>
                <w:szCs w:val="24"/>
                <w:lang w:bidi="ar"/>
              </w:rPr>
              <w:t>1</w:t>
            </w:r>
          </w:p>
        </w:tc>
        <w:tc>
          <w:tcPr>
            <w:tcW w:w="1541"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385" w:lineRule="exact"/>
              <w:ind w:left="80"/>
              <w:jc w:val="center"/>
              <w:rPr>
                <w:sz w:val="24"/>
                <w:szCs w:val="24"/>
              </w:rPr>
            </w:pPr>
            <w:r>
              <w:rPr>
                <w:rFonts w:hint="eastAsia" w:ascii="宋体" w:hAnsi="宋体" w:cs="宋体"/>
                <w:color w:val="000000"/>
                <w:sz w:val="24"/>
                <w:szCs w:val="24"/>
                <w:lang w:bidi="ar"/>
              </w:rPr>
              <w:t>油泵</w:t>
            </w:r>
          </w:p>
        </w:tc>
        <w:tc>
          <w:tcPr>
            <w:tcW w:w="1831"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385" w:lineRule="exact"/>
              <w:ind w:left="60"/>
              <w:jc w:val="center"/>
              <w:rPr>
                <w:sz w:val="24"/>
                <w:szCs w:val="24"/>
              </w:rPr>
            </w:pPr>
            <w:r>
              <w:rPr>
                <w:rFonts w:hint="eastAsia" w:ascii="宋体" w:hAnsi="宋体" w:cs="宋体"/>
                <w:color w:val="000000"/>
                <w:sz w:val="24"/>
                <w:szCs w:val="24"/>
                <w:lang w:bidi="ar"/>
              </w:rPr>
              <w:t>台湾油研</w:t>
            </w:r>
          </w:p>
        </w:tc>
        <w:tc>
          <w:tcPr>
            <w:tcW w:w="1292" w:type="pct"/>
            <w:tcBorders>
              <w:top w:val="single" w:color="auto" w:sz="4" w:space="0"/>
              <w:left w:val="single" w:color="auto" w:sz="4" w:space="0"/>
              <w:bottom w:val="single" w:color="auto" w:sz="4" w:space="0"/>
              <w:right w:val="single" w:color="auto" w:sz="4" w:space="0"/>
            </w:tcBorders>
            <w:shd w:val="clear" w:color="auto" w:fill="auto"/>
          </w:tcPr>
          <w:p>
            <w:pPr>
              <w:spacing w:line="385" w:lineRule="exact"/>
              <w:ind w:left="60"/>
              <w:jc w:val="center"/>
              <w:rPr>
                <w:rFonts w:hint="eastAsia" w:ascii="宋体" w:hAnsi="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40" w:hRule="atLeast"/>
        </w:trPr>
        <w:tc>
          <w:tcPr>
            <w:tcW w:w="335"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385" w:lineRule="exact"/>
              <w:ind w:left="100"/>
              <w:jc w:val="center"/>
              <w:rPr>
                <w:rFonts w:hint="eastAsia" w:ascii="宋体" w:hAnsi="宋体" w:cs="宋体"/>
                <w:color w:val="000000"/>
                <w:sz w:val="24"/>
                <w:szCs w:val="24"/>
              </w:rPr>
            </w:pPr>
            <w:r>
              <w:rPr>
                <w:rFonts w:ascii="宋体" w:hAnsi="宋体" w:cs="宋体"/>
                <w:color w:val="000000"/>
                <w:sz w:val="24"/>
                <w:szCs w:val="24"/>
              </w:rPr>
              <w:t>2</w:t>
            </w:r>
          </w:p>
        </w:tc>
        <w:tc>
          <w:tcPr>
            <w:tcW w:w="1541"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385" w:lineRule="exact"/>
              <w:ind w:left="100"/>
              <w:jc w:val="center"/>
              <w:rPr>
                <w:rFonts w:hint="eastAsia" w:ascii="宋体" w:hAnsi="宋体" w:cs="宋体"/>
                <w:color w:val="000000"/>
                <w:sz w:val="24"/>
                <w:szCs w:val="24"/>
              </w:rPr>
            </w:pPr>
            <w:r>
              <w:rPr>
                <w:rFonts w:hint="eastAsia" w:ascii="宋体" w:hAnsi="宋体" w:cs="宋体"/>
                <w:color w:val="000000"/>
                <w:sz w:val="24"/>
                <w:szCs w:val="24"/>
                <w:lang w:bidi="ar"/>
              </w:rPr>
              <w:t>电机</w:t>
            </w:r>
          </w:p>
        </w:tc>
        <w:tc>
          <w:tcPr>
            <w:tcW w:w="1831"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385" w:lineRule="exact"/>
              <w:jc w:val="center"/>
              <w:rPr>
                <w:rFonts w:hint="eastAsia" w:ascii="宋体" w:hAnsi="宋体" w:cs="宋体"/>
                <w:color w:val="000000"/>
                <w:sz w:val="24"/>
                <w:szCs w:val="24"/>
              </w:rPr>
            </w:pPr>
            <w:r>
              <w:rPr>
                <w:rFonts w:hint="eastAsia" w:ascii="宋体" w:hAnsi="宋体" w:cs="宋体"/>
                <w:color w:val="000000"/>
                <w:sz w:val="24"/>
                <w:szCs w:val="24"/>
                <w:lang w:bidi="ar"/>
              </w:rPr>
              <w:t>皖南、东莞、湘潭</w:t>
            </w:r>
          </w:p>
        </w:tc>
        <w:tc>
          <w:tcPr>
            <w:tcW w:w="1292" w:type="pct"/>
            <w:tcBorders>
              <w:top w:val="single" w:color="auto" w:sz="4" w:space="0"/>
              <w:left w:val="single" w:color="auto" w:sz="4" w:space="0"/>
              <w:bottom w:val="single" w:color="auto" w:sz="4" w:space="0"/>
              <w:right w:val="single" w:color="auto" w:sz="4" w:space="0"/>
            </w:tcBorders>
            <w:shd w:val="clear" w:color="auto" w:fill="auto"/>
          </w:tcPr>
          <w:p>
            <w:pPr>
              <w:spacing w:line="385" w:lineRule="exact"/>
              <w:jc w:val="center"/>
              <w:rPr>
                <w:rFonts w:hint="eastAsia" w:ascii="宋体" w:hAnsi="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55" w:hRule="atLeast"/>
        </w:trPr>
        <w:tc>
          <w:tcPr>
            <w:tcW w:w="335"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385" w:lineRule="exact"/>
              <w:ind w:left="100"/>
              <w:jc w:val="center"/>
              <w:rPr>
                <w:rFonts w:hint="eastAsia" w:ascii="宋体" w:hAnsi="宋体" w:cs="宋体"/>
                <w:color w:val="000000"/>
                <w:sz w:val="24"/>
                <w:szCs w:val="24"/>
              </w:rPr>
            </w:pPr>
            <w:r>
              <w:rPr>
                <w:rFonts w:ascii="宋体" w:hAnsi="宋体" w:cs="宋体"/>
                <w:color w:val="000000"/>
                <w:sz w:val="24"/>
                <w:szCs w:val="24"/>
              </w:rPr>
              <w:t>3</w:t>
            </w:r>
          </w:p>
        </w:tc>
        <w:tc>
          <w:tcPr>
            <w:tcW w:w="1541"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385" w:lineRule="exact"/>
              <w:ind w:left="100"/>
              <w:jc w:val="center"/>
              <w:rPr>
                <w:rFonts w:hint="eastAsia" w:ascii="宋体" w:hAnsi="宋体" w:cs="宋体"/>
                <w:color w:val="000000"/>
                <w:sz w:val="24"/>
                <w:szCs w:val="24"/>
              </w:rPr>
            </w:pPr>
            <w:r>
              <w:rPr>
                <w:rFonts w:hint="eastAsia" w:ascii="宋体" w:hAnsi="宋体" w:cs="宋体"/>
                <w:color w:val="000000"/>
                <w:sz w:val="24"/>
                <w:szCs w:val="24"/>
                <w:lang w:bidi="ar"/>
              </w:rPr>
              <w:t>阀件</w:t>
            </w:r>
          </w:p>
        </w:tc>
        <w:tc>
          <w:tcPr>
            <w:tcW w:w="1831"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385" w:lineRule="exact"/>
              <w:ind w:left="60"/>
              <w:jc w:val="center"/>
              <w:rPr>
                <w:rFonts w:hint="eastAsia" w:ascii="宋体" w:hAnsi="宋体" w:cs="宋体"/>
                <w:color w:val="000000"/>
                <w:sz w:val="24"/>
                <w:szCs w:val="24"/>
              </w:rPr>
            </w:pPr>
            <w:r>
              <w:rPr>
                <w:rFonts w:hint="eastAsia" w:ascii="宋体" w:hAnsi="宋体" w:cs="宋体"/>
                <w:color w:val="000000"/>
                <w:sz w:val="24"/>
                <w:szCs w:val="24"/>
                <w:lang w:bidi="ar"/>
              </w:rPr>
              <w:t>北京华德、台湾油研</w:t>
            </w:r>
          </w:p>
        </w:tc>
        <w:tc>
          <w:tcPr>
            <w:tcW w:w="1292" w:type="pct"/>
            <w:tcBorders>
              <w:top w:val="single" w:color="auto" w:sz="4" w:space="0"/>
              <w:left w:val="single" w:color="auto" w:sz="4" w:space="0"/>
              <w:bottom w:val="single" w:color="auto" w:sz="4" w:space="0"/>
              <w:right w:val="single" w:color="auto" w:sz="4" w:space="0"/>
            </w:tcBorders>
            <w:shd w:val="clear" w:color="auto" w:fill="auto"/>
          </w:tcPr>
          <w:p>
            <w:pPr>
              <w:spacing w:line="385" w:lineRule="exact"/>
              <w:ind w:left="60"/>
              <w:jc w:val="center"/>
              <w:rPr>
                <w:rFonts w:hint="eastAsia" w:ascii="宋体" w:hAnsi="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40" w:hRule="atLeast"/>
        </w:trPr>
        <w:tc>
          <w:tcPr>
            <w:tcW w:w="335"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385" w:lineRule="exact"/>
              <w:ind w:left="100"/>
              <w:jc w:val="center"/>
              <w:rPr>
                <w:rFonts w:hint="eastAsia" w:ascii="宋体" w:hAnsi="宋体" w:cs="宋体"/>
                <w:color w:val="000000"/>
                <w:sz w:val="24"/>
                <w:szCs w:val="24"/>
              </w:rPr>
            </w:pPr>
            <w:r>
              <w:rPr>
                <w:rFonts w:ascii="宋体" w:hAnsi="宋体" w:cs="宋体"/>
                <w:color w:val="000000"/>
                <w:sz w:val="24"/>
                <w:szCs w:val="24"/>
              </w:rPr>
              <w:t>4</w:t>
            </w:r>
          </w:p>
        </w:tc>
        <w:tc>
          <w:tcPr>
            <w:tcW w:w="1541"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385" w:lineRule="exact"/>
              <w:jc w:val="center"/>
              <w:rPr>
                <w:rFonts w:hint="eastAsia" w:ascii="宋体" w:hAnsi="宋体" w:cs="宋体"/>
                <w:color w:val="000000"/>
                <w:sz w:val="24"/>
                <w:szCs w:val="24"/>
              </w:rPr>
            </w:pPr>
            <w:r>
              <w:rPr>
                <w:rFonts w:hint="eastAsia" w:ascii="宋体" w:hAnsi="宋体" w:cs="宋体"/>
                <w:color w:val="000000"/>
                <w:sz w:val="24"/>
                <w:szCs w:val="24"/>
                <w:lang w:bidi="ar"/>
              </w:rPr>
              <w:t>过滤器</w:t>
            </w:r>
            <w:r>
              <w:rPr>
                <w:rFonts w:ascii="宋体" w:hAnsi="宋体" w:cs="宋体"/>
                <w:color w:val="000000"/>
                <w:sz w:val="24"/>
                <w:szCs w:val="24"/>
                <w:lang w:bidi="ar"/>
              </w:rPr>
              <w:t>、液位控制继电器</w:t>
            </w:r>
          </w:p>
        </w:tc>
        <w:tc>
          <w:tcPr>
            <w:tcW w:w="1831"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385" w:lineRule="exact"/>
              <w:ind w:left="100"/>
              <w:jc w:val="center"/>
              <w:rPr>
                <w:rFonts w:hint="eastAsia" w:ascii="宋体" w:hAnsi="宋体" w:cs="宋体"/>
                <w:color w:val="000000"/>
                <w:sz w:val="24"/>
                <w:szCs w:val="24"/>
              </w:rPr>
            </w:pPr>
            <w:r>
              <w:rPr>
                <w:rFonts w:hint="eastAsia" w:ascii="宋体" w:hAnsi="宋体" w:cs="宋体"/>
                <w:color w:val="000000"/>
                <w:sz w:val="24"/>
                <w:szCs w:val="24"/>
                <w:lang w:bidi="ar"/>
              </w:rPr>
              <w:t>黎明液压</w:t>
            </w:r>
          </w:p>
        </w:tc>
        <w:tc>
          <w:tcPr>
            <w:tcW w:w="1292" w:type="pct"/>
            <w:tcBorders>
              <w:top w:val="single" w:color="auto" w:sz="4" w:space="0"/>
              <w:left w:val="single" w:color="auto" w:sz="4" w:space="0"/>
              <w:bottom w:val="single" w:color="auto" w:sz="4" w:space="0"/>
              <w:right w:val="single" w:color="auto" w:sz="4" w:space="0"/>
            </w:tcBorders>
            <w:shd w:val="clear" w:color="auto" w:fill="auto"/>
          </w:tcPr>
          <w:p>
            <w:pPr>
              <w:spacing w:line="385" w:lineRule="exact"/>
              <w:ind w:left="100"/>
              <w:jc w:val="center"/>
              <w:rPr>
                <w:rFonts w:hint="eastAsia" w:ascii="宋体" w:hAnsi="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40" w:hRule="atLeast"/>
        </w:trPr>
        <w:tc>
          <w:tcPr>
            <w:tcW w:w="335"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385" w:lineRule="exact"/>
              <w:ind w:left="100"/>
              <w:jc w:val="center"/>
              <w:rPr>
                <w:rFonts w:hint="eastAsia" w:ascii="宋体" w:hAnsi="宋体" w:cs="宋体"/>
                <w:color w:val="000000"/>
                <w:sz w:val="24"/>
                <w:szCs w:val="24"/>
              </w:rPr>
            </w:pPr>
            <w:r>
              <w:rPr>
                <w:rFonts w:ascii="宋体" w:hAnsi="宋体" w:cs="宋体"/>
                <w:color w:val="000000"/>
                <w:sz w:val="24"/>
                <w:szCs w:val="24"/>
              </w:rPr>
              <w:t>5</w:t>
            </w:r>
          </w:p>
        </w:tc>
        <w:tc>
          <w:tcPr>
            <w:tcW w:w="1541"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385" w:lineRule="exact"/>
              <w:ind w:left="100"/>
              <w:jc w:val="center"/>
              <w:rPr>
                <w:rFonts w:hint="eastAsia" w:ascii="宋体" w:hAnsi="宋体" w:cs="宋体"/>
                <w:color w:val="000000"/>
                <w:sz w:val="24"/>
                <w:szCs w:val="24"/>
              </w:rPr>
            </w:pPr>
            <w:r>
              <w:rPr>
                <w:rFonts w:hint="eastAsia" w:ascii="宋体" w:hAnsi="宋体" w:cs="宋体"/>
                <w:color w:val="000000"/>
                <w:sz w:val="24"/>
                <w:szCs w:val="24"/>
                <w:lang w:bidi="ar"/>
              </w:rPr>
              <w:t>其他配件</w:t>
            </w:r>
          </w:p>
        </w:tc>
        <w:tc>
          <w:tcPr>
            <w:tcW w:w="1831"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385" w:lineRule="exact"/>
              <w:jc w:val="center"/>
              <w:rPr>
                <w:rFonts w:hint="eastAsia" w:ascii="宋体" w:hAnsi="宋体" w:cs="宋体"/>
                <w:color w:val="000000"/>
                <w:sz w:val="24"/>
                <w:szCs w:val="24"/>
              </w:rPr>
            </w:pPr>
            <w:r>
              <w:rPr>
                <w:rFonts w:hint="eastAsia" w:ascii="宋体" w:hAnsi="宋体" w:cs="宋体"/>
                <w:color w:val="000000"/>
                <w:sz w:val="24"/>
                <w:szCs w:val="24"/>
                <w:lang w:bidi="ar"/>
              </w:rPr>
              <w:t>国产优质品牌</w:t>
            </w:r>
          </w:p>
        </w:tc>
        <w:tc>
          <w:tcPr>
            <w:tcW w:w="1292" w:type="pct"/>
            <w:tcBorders>
              <w:top w:val="single" w:color="auto" w:sz="4" w:space="0"/>
              <w:left w:val="single" w:color="auto" w:sz="4" w:space="0"/>
              <w:bottom w:val="single" w:color="auto" w:sz="4" w:space="0"/>
              <w:right w:val="single" w:color="auto" w:sz="4" w:space="0"/>
            </w:tcBorders>
            <w:shd w:val="clear" w:color="auto" w:fill="auto"/>
          </w:tcPr>
          <w:p>
            <w:pPr>
              <w:spacing w:line="385" w:lineRule="exact"/>
              <w:jc w:val="center"/>
              <w:rPr>
                <w:rFonts w:hint="eastAsia" w:ascii="宋体" w:hAnsi="宋体" w:cs="宋体"/>
                <w:color w:val="000000"/>
                <w:sz w:val="24"/>
                <w:szCs w:val="24"/>
              </w:rPr>
            </w:pPr>
          </w:p>
        </w:tc>
      </w:tr>
    </w:tbl>
    <w:p>
      <w:pPr>
        <w:spacing w:before="20" w:line="380" w:lineRule="exact"/>
        <w:rPr>
          <w:color w:val="000000"/>
          <w:sz w:val="24"/>
          <w:szCs w:val="24"/>
        </w:rPr>
      </w:pPr>
      <w:r>
        <w:rPr>
          <w:rFonts w:hint="eastAsia" w:cs="宋体"/>
          <w:color w:val="000000"/>
          <w:sz w:val="24"/>
          <w:szCs w:val="24"/>
          <w:lang w:bidi="ar"/>
        </w:rPr>
        <w:t>注：</w:t>
      </w:r>
    </w:p>
    <w:p>
      <w:pPr>
        <w:spacing w:before="20" w:line="380" w:lineRule="exact"/>
        <w:rPr>
          <w:sz w:val="24"/>
          <w:szCs w:val="24"/>
        </w:rPr>
      </w:pPr>
      <w:r>
        <w:rPr>
          <w:rFonts w:hint="eastAsia" w:cs="宋体"/>
          <w:color w:val="000000"/>
          <w:sz w:val="24"/>
          <w:szCs w:val="24"/>
          <w:lang w:bidi="ar"/>
        </w:rPr>
        <w:t>（</w:t>
      </w:r>
      <w:r>
        <w:rPr>
          <w:color w:val="000000"/>
          <w:sz w:val="24"/>
          <w:szCs w:val="24"/>
          <w:lang w:bidi="ar"/>
        </w:rPr>
        <w:t>1</w:t>
      </w:r>
      <w:r>
        <w:rPr>
          <w:rFonts w:hint="eastAsia" w:cs="宋体"/>
          <w:color w:val="000000"/>
          <w:sz w:val="24"/>
          <w:szCs w:val="24"/>
          <w:lang w:bidi="ar"/>
        </w:rPr>
        <w:t>）为方便以后的维护、更换，所选品牌种类应尽可能少。</w:t>
      </w:r>
    </w:p>
    <w:p>
      <w:pPr>
        <w:spacing w:line="380" w:lineRule="exact"/>
        <w:rPr>
          <w:color w:val="000000"/>
          <w:sz w:val="24"/>
          <w:szCs w:val="24"/>
        </w:rPr>
      </w:pPr>
      <w:r>
        <w:rPr>
          <w:rFonts w:hint="eastAsia" w:cs="宋体"/>
          <w:color w:val="000000"/>
          <w:sz w:val="24"/>
          <w:szCs w:val="24"/>
          <w:lang w:bidi="ar"/>
        </w:rPr>
        <w:t>（</w:t>
      </w:r>
      <w:r>
        <w:rPr>
          <w:color w:val="000000"/>
          <w:sz w:val="24"/>
          <w:szCs w:val="24"/>
          <w:lang w:bidi="ar"/>
        </w:rPr>
        <w:t>2</w:t>
      </w:r>
      <w:r>
        <w:rPr>
          <w:rFonts w:hint="eastAsia" w:cs="宋体"/>
          <w:color w:val="000000"/>
          <w:sz w:val="24"/>
          <w:szCs w:val="24"/>
          <w:lang w:bidi="ar"/>
        </w:rPr>
        <w:t>）未要求的辅件可以选用中国优质品牌。</w:t>
      </w:r>
    </w:p>
    <w:p>
      <w:pPr>
        <w:spacing w:after="140" w:line="380" w:lineRule="exact"/>
      </w:pPr>
      <w:r>
        <w:rPr>
          <w:rFonts w:hint="eastAsia" w:cs="宋体"/>
          <w:color w:val="000000"/>
          <w:sz w:val="24"/>
          <w:szCs w:val="24"/>
          <w:lang w:bidi="ar"/>
        </w:rPr>
        <w:t>（</w:t>
      </w:r>
      <w:r>
        <w:rPr>
          <w:color w:val="000000"/>
          <w:sz w:val="24"/>
          <w:szCs w:val="24"/>
          <w:lang w:bidi="ar"/>
        </w:rPr>
        <w:t>3</w:t>
      </w:r>
      <w:r>
        <w:rPr>
          <w:rFonts w:hint="eastAsia" w:cs="宋体"/>
          <w:color w:val="000000"/>
          <w:sz w:val="24"/>
          <w:szCs w:val="24"/>
          <w:lang w:bidi="ar"/>
        </w:rPr>
        <w:t>）如有品牌代用应不低于上述品牌为原则，并需经甲方同意。</w:t>
      </w:r>
    </w:p>
    <w:p>
      <w:pPr>
        <w:pStyle w:val="5"/>
        <w:numPr>
          <w:ilvl w:val="3"/>
          <w:numId w:val="10"/>
        </w:numPr>
        <w:spacing w:before="0" w:after="0" w:line="360" w:lineRule="auto"/>
        <w:ind w:left="0" w:firstLine="425" w:firstLineChars="177"/>
      </w:pPr>
      <w:r>
        <w:rPr>
          <w:rFonts w:ascii="宋体" w:hAnsi="宋体"/>
          <w:bCs w:val="0"/>
          <w:sz w:val="24"/>
          <w:szCs w:val="24"/>
        </w:rPr>
        <w:t>平台爬梯及护栏</w:t>
      </w:r>
    </w:p>
    <w:p>
      <w:pPr>
        <w:numPr>
          <w:ilvl w:val="0"/>
          <w:numId w:val="16"/>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钢平台、爬梯及护栏设计制造符合以下标准及规范要求：</w:t>
      </w:r>
    </w:p>
    <w:p>
      <w:pPr>
        <w:autoSpaceDE w:val="0"/>
        <w:autoSpaceDN w:val="0"/>
        <w:adjustRightInd w:val="0"/>
        <w:spacing w:line="360" w:lineRule="auto"/>
        <w:ind w:left="42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《钢结构设计规范》</w:t>
      </w:r>
      <w:r>
        <w:rPr>
          <w:rFonts w:asciiTheme="minorEastAsia" w:hAnsiTheme="minorEastAsia" w:eastAsiaTheme="minorEastAsia" w:cstheme="minorEastAsia"/>
          <w:sz w:val="24"/>
          <w:szCs w:val="24"/>
        </w:rPr>
        <w:t xml:space="preserve"> GB50017-2017</w:t>
      </w:r>
    </w:p>
    <w:p>
      <w:p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r>
        <w:rPr>
          <w:rFonts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rPr>
        <w:t>《固定式钢梯及平台安全要求</w:t>
      </w:r>
      <w:r>
        <w:rPr>
          <w:rFonts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rPr>
        <w:t>第</w:t>
      </w:r>
      <w:r>
        <w:rPr>
          <w:rFonts w:asciiTheme="minorEastAsia" w:hAnsiTheme="minorEastAsia" w:eastAsiaTheme="minorEastAsia" w:cstheme="minorEastAsia"/>
          <w:sz w:val="24"/>
          <w:szCs w:val="24"/>
        </w:rPr>
        <w:t xml:space="preserve">2部分 </w:t>
      </w:r>
      <w:r>
        <w:rPr>
          <w:rFonts w:hint="eastAsia" w:asciiTheme="minorEastAsia" w:hAnsiTheme="minorEastAsia" w:eastAsiaTheme="minorEastAsia" w:cstheme="minorEastAsia"/>
          <w:sz w:val="24"/>
          <w:szCs w:val="24"/>
        </w:rPr>
        <w:t>钢斜梯》</w:t>
      </w:r>
      <w:r>
        <w:rPr>
          <w:rFonts w:asciiTheme="minorEastAsia" w:hAnsiTheme="minorEastAsia" w:eastAsiaTheme="minorEastAsia" w:cstheme="minorEastAsia"/>
          <w:sz w:val="24"/>
          <w:szCs w:val="24"/>
        </w:rPr>
        <w:t xml:space="preserve">GB4053.2-2009  </w:t>
      </w:r>
    </w:p>
    <w:p>
      <w:pPr>
        <w:autoSpaceDE w:val="0"/>
        <w:autoSpaceDN w:val="0"/>
        <w:adjustRightInd w:val="0"/>
        <w:spacing w:line="360" w:lineRule="auto"/>
        <w:ind w:left="42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《固定式钢梯及平台安全要求</w:t>
      </w:r>
      <w:r>
        <w:rPr>
          <w:rFonts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rPr>
        <w:t>第</w:t>
      </w:r>
      <w:r>
        <w:rPr>
          <w:rFonts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rPr>
        <w:t>部分：工业防护栏杆及钢平台》</w:t>
      </w:r>
      <w:r>
        <w:rPr>
          <w:rFonts w:asciiTheme="minorEastAsia" w:hAnsiTheme="minorEastAsia" w:eastAsiaTheme="minorEastAsia" w:cstheme="minorEastAsia"/>
          <w:sz w:val="24"/>
          <w:szCs w:val="24"/>
        </w:rPr>
        <w:t>GB4053.3-2009</w:t>
      </w:r>
    </w:p>
    <w:p>
      <w:pPr>
        <w:autoSpaceDE w:val="0"/>
        <w:autoSpaceDN w:val="0"/>
        <w:adjustRightInd w:val="0"/>
        <w:spacing w:line="360" w:lineRule="auto"/>
        <w:ind w:left="420"/>
        <w:jc w:val="left"/>
        <w:rPr>
          <w:rFonts w:hint="eastAsia"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其他相关国家标准和规范。</w:t>
      </w:r>
    </w:p>
    <w:p>
      <w:pPr>
        <w:numPr>
          <w:ilvl w:val="0"/>
          <w:numId w:val="16"/>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钢斜梯：</w:t>
      </w:r>
    </w:p>
    <w:p>
      <w:pPr>
        <w:autoSpaceDE w:val="0"/>
        <w:autoSpaceDN w:val="0"/>
        <w:adjustRightInd w:val="0"/>
        <w:spacing w:line="360" w:lineRule="auto"/>
        <w:ind w:left="420"/>
        <w:jc w:val="left"/>
        <w:rPr>
          <w:rFonts w:hint="eastAsia"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钢斜梯倾角应在30°～75°范围内，优选45°，斜梯内净宽不小于700mm；</w:t>
      </w:r>
    </w:p>
    <w:p>
      <w:pPr>
        <w:autoSpaceDE w:val="0"/>
        <w:autoSpaceDN w:val="0"/>
        <w:adjustRightInd w:val="0"/>
        <w:spacing w:line="360" w:lineRule="auto"/>
        <w:ind w:left="420"/>
        <w:jc w:val="left"/>
        <w:rPr>
          <w:rFonts w:hint="eastAsia"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斜梯踏步采用镀锌钢格栅（</w:t>
      </w:r>
      <w:r>
        <w:rPr>
          <w:rFonts w:hint="eastAsia" w:asciiTheme="minorEastAsia" w:hAnsiTheme="minorEastAsia" w:eastAsiaTheme="minorEastAsia" w:cstheme="minorEastAsia"/>
          <w:sz w:val="24"/>
          <w:szCs w:val="24"/>
        </w:rPr>
        <w:t>G323/30/100</w:t>
      </w:r>
      <w:r>
        <w:rPr>
          <w:rFonts w:asciiTheme="minorEastAsia" w:hAnsiTheme="minorEastAsia" w:eastAsiaTheme="minorEastAsia" w:cstheme="minorEastAsia"/>
          <w:sz w:val="24"/>
          <w:szCs w:val="24"/>
        </w:rPr>
        <w:t xml:space="preserve"> ），踏步高度180mm,</w:t>
      </w:r>
      <w:r>
        <w:rPr>
          <w:rFonts w:hint="eastAsia" w:asciiTheme="minorEastAsia" w:hAnsiTheme="minorEastAsia" w:eastAsiaTheme="minorEastAsia" w:cstheme="minorEastAsia"/>
          <w:sz w:val="24"/>
          <w:szCs w:val="24"/>
        </w:rPr>
        <w:t>格栅板与梯梁螺栓连接或焊接</w:t>
      </w:r>
      <w:r>
        <w:rPr>
          <w:rFonts w:asciiTheme="minorEastAsia" w:hAnsiTheme="minorEastAsia" w:eastAsiaTheme="minorEastAsia" w:cstheme="minorEastAsia"/>
          <w:sz w:val="24"/>
          <w:szCs w:val="24"/>
        </w:rPr>
        <w:t xml:space="preserve"> ;</w:t>
      </w:r>
    </w:p>
    <w:p>
      <w:pPr>
        <w:numPr>
          <w:ilvl w:val="0"/>
          <w:numId w:val="16"/>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斜梯扶手及护栏：</w:t>
      </w:r>
    </w:p>
    <w:p>
      <w:pPr>
        <w:autoSpaceDE w:val="0"/>
        <w:autoSpaceDN w:val="0"/>
        <w:adjustRightInd w:val="0"/>
        <w:spacing w:line="360" w:lineRule="auto"/>
        <w:ind w:left="420"/>
        <w:jc w:val="left"/>
        <w:rPr>
          <w:rFonts w:hint="eastAsia"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扶手及护栏高度不低于1050mm, 立柱及扶手选用钢管</w:t>
      </w:r>
      <w:r>
        <w:rPr>
          <w:rFonts w:hint="eastAsia" w:asciiTheme="minorEastAsia" w:hAnsiTheme="minorEastAsia" w:eastAsiaTheme="minorEastAsia" w:cstheme="minorEastAsia"/>
          <w:sz w:val="24"/>
          <w:szCs w:val="24"/>
        </w:rPr>
        <w:t>φ</w:t>
      </w:r>
      <w:r>
        <w:rPr>
          <w:rFonts w:asciiTheme="minorEastAsia" w:hAnsiTheme="minorEastAsia" w:eastAsiaTheme="minorEastAsia" w:cstheme="minorEastAsia"/>
          <w:sz w:val="24"/>
          <w:szCs w:val="24"/>
        </w:rPr>
        <w:t>38x2.5，立柱之间间隙隔1000mm；</w:t>
      </w:r>
    </w:p>
    <w:p>
      <w:pPr>
        <w:autoSpaceDE w:val="0"/>
        <w:autoSpaceDN w:val="0"/>
        <w:adjustRightInd w:val="0"/>
        <w:spacing w:line="360" w:lineRule="auto"/>
        <w:ind w:left="420"/>
        <w:jc w:val="left"/>
        <w:rPr>
          <w:rFonts w:hint="eastAsia"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中间栏杆选用钢管φ32x2.5，</w:t>
      </w:r>
      <w:r>
        <w:rPr>
          <w:rFonts w:hint="eastAsia" w:asciiTheme="minorEastAsia" w:hAnsiTheme="minorEastAsia" w:eastAsiaTheme="minorEastAsia" w:cstheme="minorEastAsia"/>
          <w:sz w:val="24"/>
          <w:szCs w:val="24"/>
        </w:rPr>
        <w:t>护栏中间栏杆间隙</w:t>
      </w:r>
      <w:r>
        <w:rPr>
          <w:rFonts w:asciiTheme="minorEastAsia" w:hAnsiTheme="minorEastAsia" w:eastAsiaTheme="minorEastAsia" w:cstheme="minorEastAsia"/>
          <w:sz w:val="24"/>
          <w:szCs w:val="24"/>
        </w:rPr>
        <w:t>350mm；</w:t>
      </w:r>
    </w:p>
    <w:p>
      <w:pPr>
        <w:autoSpaceDE w:val="0"/>
        <w:autoSpaceDN w:val="0"/>
        <w:adjustRightInd w:val="0"/>
        <w:spacing w:line="360" w:lineRule="auto"/>
        <w:ind w:left="42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踢脚板选用</w:t>
      </w:r>
      <w:r>
        <w:rPr>
          <w:rFonts w:asciiTheme="minorEastAsia" w:hAnsiTheme="minorEastAsia" w:eastAsiaTheme="minorEastAsia" w:cstheme="minorEastAsia"/>
          <w:sz w:val="24"/>
          <w:szCs w:val="24"/>
        </w:rPr>
        <w:t>100mmx3mm的扁钢；</w:t>
      </w:r>
    </w:p>
    <w:p>
      <w:pPr>
        <w:autoSpaceDE w:val="0"/>
        <w:autoSpaceDN w:val="0"/>
        <w:adjustRightInd w:val="0"/>
        <w:spacing w:line="360" w:lineRule="auto"/>
        <w:ind w:left="42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管材下料要按相贯线相切下料，对接后不得有缺口缝隙。</w:t>
      </w:r>
    </w:p>
    <w:p>
      <w:pPr>
        <w:pStyle w:val="13"/>
        <w:numPr>
          <w:ilvl w:val="0"/>
          <w:numId w:val="1"/>
        </w:numPr>
        <w:jc w:val="left"/>
        <w:rPr>
          <w:sz w:val="28"/>
          <w:szCs w:val="28"/>
        </w:rPr>
      </w:pPr>
      <w:r>
        <w:rPr>
          <w:rFonts w:hint="eastAsia"/>
          <w:sz w:val="28"/>
          <w:szCs w:val="28"/>
        </w:rPr>
        <w:t>电气配置</w:t>
      </w:r>
    </w:p>
    <w:p>
      <w:pPr>
        <w:numPr>
          <w:ilvl w:val="0"/>
          <w:numId w:val="17"/>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控柜：(尺寸2200高×800宽×600深，现场控制箱尺寸厂家自行设计)，柜体壁厚不小于2.0，控制柜柜顶安装65W排风扇。柜内电源有明显断开点，且设置总进线断路器保护，柜体结构采用碳钢喷塑。室内控制柜防护等级不低于IP</w:t>
      </w:r>
      <w:r>
        <w:rPr>
          <w:rFonts w:asciiTheme="minorEastAsia" w:hAnsiTheme="minorEastAsia" w:eastAsiaTheme="minorEastAsia" w:cstheme="minorEastAsia"/>
          <w:sz w:val="24"/>
          <w:szCs w:val="24"/>
        </w:rPr>
        <w:t>4</w:t>
      </w:r>
      <w:r>
        <w:rPr>
          <w:rFonts w:hint="eastAsia" w:asciiTheme="minorEastAsia" w:hAnsiTheme="minorEastAsia" w:eastAsiaTheme="minorEastAsia" w:cstheme="minorEastAsia"/>
          <w:sz w:val="24"/>
          <w:szCs w:val="24"/>
        </w:rPr>
        <w:t>1，控制柜需要安装铭牌，柜体颜色为银白色。</w:t>
      </w:r>
    </w:p>
    <w:p>
      <w:pPr>
        <w:numPr>
          <w:ilvl w:val="0"/>
          <w:numId w:val="17"/>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PLC采用西门子 </w:t>
      </w:r>
      <w:r>
        <w:rPr>
          <w:rFonts w:asciiTheme="minorEastAsia" w:hAnsiTheme="minorEastAsia" w:eastAsiaTheme="minorEastAsia" w:cstheme="minorEastAsia"/>
          <w:sz w:val="24"/>
          <w:szCs w:val="24"/>
        </w:rPr>
        <w:t>S7-</w:t>
      </w:r>
      <w:r>
        <w:rPr>
          <w:rFonts w:hint="eastAsia" w:asciiTheme="minorEastAsia" w:hAnsiTheme="minorEastAsia" w:eastAsiaTheme="minorEastAsia" w:cstheme="minorEastAsia"/>
          <w:sz w:val="24"/>
          <w:szCs w:val="24"/>
        </w:rPr>
        <w:t>1</w:t>
      </w:r>
      <w:r>
        <w:rPr>
          <w:rFonts w:asciiTheme="minorEastAsia" w:hAnsiTheme="minorEastAsia" w:eastAsiaTheme="minorEastAsia" w:cstheme="minorEastAsia"/>
          <w:sz w:val="24"/>
          <w:szCs w:val="24"/>
        </w:rPr>
        <w:t>200</w:t>
      </w:r>
      <w:r>
        <w:rPr>
          <w:rFonts w:hint="eastAsia" w:asciiTheme="minorEastAsia" w:hAnsiTheme="minorEastAsia" w:eastAsiaTheme="minorEastAsia" w:cstheme="minorEastAsia"/>
          <w:sz w:val="24"/>
          <w:szCs w:val="24"/>
        </w:rPr>
        <w:t>/</w:t>
      </w:r>
      <w:r>
        <w:rPr>
          <w:rFonts w:asciiTheme="minorEastAsia" w:hAnsiTheme="minorEastAsia" w:eastAsiaTheme="minorEastAsia" w:cstheme="minorEastAsia"/>
          <w:sz w:val="24"/>
          <w:szCs w:val="24"/>
        </w:rPr>
        <w:t>CPU1214C</w:t>
      </w:r>
      <w:r>
        <w:rPr>
          <w:rFonts w:hint="eastAsia" w:asciiTheme="minorEastAsia" w:hAnsiTheme="minorEastAsia" w:eastAsiaTheme="minorEastAsia" w:cstheme="minorEastAsia"/>
          <w:sz w:val="24"/>
          <w:szCs w:val="24"/>
        </w:rPr>
        <w:t>，上位</w:t>
      </w:r>
      <w:r>
        <w:rPr>
          <w:rFonts w:asciiTheme="minorEastAsia" w:hAnsiTheme="minorEastAsia" w:eastAsiaTheme="minorEastAsia" w:cstheme="minorEastAsia"/>
          <w:sz w:val="24"/>
          <w:szCs w:val="24"/>
        </w:rPr>
        <w:t>机通讯</w:t>
      </w:r>
      <w:r>
        <w:rPr>
          <w:rFonts w:hint="eastAsia" w:asciiTheme="minorEastAsia" w:hAnsiTheme="minorEastAsia" w:eastAsiaTheme="minorEastAsia" w:cstheme="minorEastAsia"/>
          <w:sz w:val="24"/>
          <w:szCs w:val="24"/>
        </w:rPr>
        <w:t>采用以太网通讯。变频器品牌西门子、ABB、施耐德</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低压电气品牌施耐德或者西门子。</w:t>
      </w:r>
    </w:p>
    <w:p>
      <w:pPr>
        <w:numPr>
          <w:ilvl w:val="0"/>
          <w:numId w:val="17"/>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控制釆用三种控制，即远程手动控制、远程自动、现场控制，其上设置远程/就地转换开关、启动/停止按钮、运行指示灯、故障指示灯、急停按钮。指示灯、转换开关等采用施耐德，防护等级不低于IP54。</w:t>
      </w:r>
    </w:p>
    <w:p>
      <w:pPr>
        <w:numPr>
          <w:ilvl w:val="0"/>
          <w:numId w:val="17"/>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资料提供：合同签署1</w:t>
      </w:r>
      <w:r>
        <w:rPr>
          <w:rFonts w:asciiTheme="minorEastAsia" w:hAnsiTheme="minorEastAsia" w:eastAsiaTheme="minorEastAsia" w:cstheme="minorEastAsia"/>
          <w:sz w:val="24"/>
          <w:szCs w:val="24"/>
        </w:rPr>
        <w:t>5</w:t>
      </w:r>
      <w:r>
        <w:rPr>
          <w:rFonts w:hint="eastAsia" w:asciiTheme="minorEastAsia" w:hAnsiTheme="minorEastAsia" w:eastAsiaTheme="minorEastAsia" w:cstheme="minorEastAsia"/>
          <w:sz w:val="24"/>
          <w:szCs w:val="24"/>
        </w:rPr>
        <w:t>个工作日向甲方提供最终</w:t>
      </w:r>
      <w:r>
        <w:rPr>
          <w:rFonts w:asciiTheme="minorEastAsia" w:hAnsiTheme="minorEastAsia" w:eastAsiaTheme="minorEastAsia" w:cstheme="minorEastAsia"/>
          <w:sz w:val="24"/>
          <w:szCs w:val="24"/>
        </w:rPr>
        <w:t>版</w:t>
      </w:r>
      <w:r>
        <w:rPr>
          <w:rFonts w:hint="eastAsia" w:asciiTheme="minorEastAsia" w:hAnsiTheme="minorEastAsia" w:eastAsiaTheme="minorEastAsia" w:cstheme="minorEastAsia"/>
          <w:sz w:val="24"/>
          <w:szCs w:val="24"/>
        </w:rPr>
        <w:t>电气原理图、工艺流程图，设备安装图、操作维护手册、PLC、上位机</w:t>
      </w:r>
      <w:r>
        <w:rPr>
          <w:rFonts w:asciiTheme="minorEastAsia" w:hAnsiTheme="minorEastAsia" w:eastAsiaTheme="minorEastAsia" w:cstheme="minorEastAsia"/>
          <w:sz w:val="24"/>
          <w:szCs w:val="24"/>
        </w:rPr>
        <w:t>控制画面</w:t>
      </w:r>
      <w:r>
        <w:rPr>
          <w:rFonts w:hint="eastAsia" w:asciiTheme="minorEastAsia" w:hAnsiTheme="minorEastAsia" w:eastAsiaTheme="minorEastAsia" w:cstheme="minorEastAsia"/>
          <w:sz w:val="24"/>
          <w:szCs w:val="24"/>
        </w:rPr>
        <w:t>。所有电气设备清单以及功率电流、电压相关参数。</w:t>
      </w:r>
    </w:p>
    <w:p>
      <w:pPr>
        <w:numPr>
          <w:ilvl w:val="0"/>
          <w:numId w:val="17"/>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螺旋输送</w:t>
      </w:r>
      <w:r>
        <w:rPr>
          <w:rFonts w:asciiTheme="minorEastAsia" w:hAnsiTheme="minorEastAsia" w:eastAsiaTheme="minorEastAsia" w:cstheme="minorEastAsia"/>
          <w:sz w:val="24"/>
          <w:szCs w:val="24"/>
        </w:rPr>
        <w:t>机</w:t>
      </w:r>
      <w:r>
        <w:rPr>
          <w:rFonts w:hint="eastAsia" w:asciiTheme="minorEastAsia" w:hAnsiTheme="minorEastAsia" w:eastAsiaTheme="minorEastAsia" w:cstheme="minorEastAsia"/>
          <w:sz w:val="24"/>
          <w:szCs w:val="24"/>
        </w:rPr>
        <w:t>的</w:t>
      </w:r>
      <w:r>
        <w:rPr>
          <w:rFonts w:asciiTheme="minorEastAsia" w:hAnsiTheme="minorEastAsia" w:eastAsiaTheme="minorEastAsia" w:cstheme="minorEastAsia"/>
          <w:sz w:val="24"/>
          <w:szCs w:val="24"/>
        </w:rPr>
        <w:t>控制柜由甲方负责设计及提供</w:t>
      </w:r>
      <w:r>
        <w:rPr>
          <w:rFonts w:hint="eastAsia" w:asciiTheme="minorEastAsia" w:hAnsiTheme="minorEastAsia" w:eastAsiaTheme="minorEastAsia" w:cstheme="minorEastAsia"/>
          <w:sz w:val="24"/>
          <w:szCs w:val="24"/>
        </w:rPr>
        <w:t>。</w:t>
      </w:r>
    </w:p>
    <w:p>
      <w:pPr>
        <w:pStyle w:val="13"/>
        <w:numPr>
          <w:ilvl w:val="0"/>
          <w:numId w:val="1"/>
        </w:numPr>
        <w:jc w:val="left"/>
        <w:rPr>
          <w:sz w:val="28"/>
          <w:szCs w:val="28"/>
        </w:rPr>
      </w:pPr>
      <w:r>
        <w:rPr>
          <w:rFonts w:hint="eastAsia"/>
          <w:sz w:val="28"/>
          <w:szCs w:val="28"/>
        </w:rPr>
        <w:t>设备</w:t>
      </w:r>
      <w:r>
        <w:rPr>
          <w:sz w:val="28"/>
          <w:szCs w:val="28"/>
        </w:rPr>
        <w:t>调试和测试</w:t>
      </w:r>
    </w:p>
    <w:p>
      <w:pPr>
        <w:tabs>
          <w:tab w:val="left" w:pos="169"/>
        </w:tabs>
        <w:spacing w:line="360" w:lineRule="auto"/>
        <w:ind w:firstLine="480" w:firstLineChars="200"/>
        <w:rPr>
          <w:rFonts w:hint="eastAsia" w:ascii="宋体" w:hAnsi="宋体" w:cs="宋体"/>
          <w:sz w:val="24"/>
        </w:rPr>
      </w:pPr>
      <w:r>
        <w:rPr>
          <w:rFonts w:hint="eastAsia" w:ascii="宋体" w:hAnsi="宋体" w:cs="宋体"/>
          <w:sz w:val="24"/>
        </w:rPr>
        <w:t>所有设备均检查其外形尺寸、布置定位、运动、振动、噪音，确保运转正常。</w:t>
      </w:r>
    </w:p>
    <w:p>
      <w:pPr>
        <w:tabs>
          <w:tab w:val="left" w:pos="169"/>
        </w:tabs>
        <w:spacing w:line="360" w:lineRule="auto"/>
        <w:ind w:firstLine="480" w:firstLineChars="200"/>
        <w:rPr>
          <w:rFonts w:hint="eastAsia" w:ascii="宋体" w:hAnsi="宋体" w:cs="宋体"/>
          <w:sz w:val="24"/>
        </w:rPr>
      </w:pPr>
      <w:r>
        <w:rPr>
          <w:rFonts w:hint="eastAsia" w:ascii="宋体" w:hAnsi="宋体" w:cs="宋体"/>
          <w:sz w:val="24"/>
        </w:rPr>
        <w:t>压滤机排渣</w:t>
      </w:r>
      <w:r>
        <w:rPr>
          <w:rFonts w:ascii="宋体" w:hAnsi="宋体" w:cs="宋体"/>
          <w:sz w:val="24"/>
        </w:rPr>
        <w:t>螺旋</w:t>
      </w:r>
      <w:r>
        <w:rPr>
          <w:rFonts w:hint="eastAsia" w:ascii="宋体" w:hAnsi="宋体" w:cs="宋体"/>
          <w:sz w:val="24"/>
        </w:rPr>
        <w:t>需空载运行2小时，测试设备运行稳定性。负载试验，测试其运行速度，电流及功率和输送能力。负载试验，与压滤机联动调试，运行24小时以上。</w:t>
      </w:r>
    </w:p>
    <w:p>
      <w:pPr>
        <w:tabs>
          <w:tab w:val="left" w:pos="169"/>
        </w:tabs>
        <w:spacing w:line="360" w:lineRule="auto"/>
        <w:ind w:firstLine="480" w:firstLineChars="200"/>
        <w:rPr>
          <w:rFonts w:hint="eastAsia" w:ascii="宋体" w:hAnsi="宋体" w:cs="宋体"/>
          <w:sz w:val="24"/>
        </w:rPr>
      </w:pPr>
      <w:r>
        <w:rPr>
          <w:rFonts w:hint="eastAsia" w:ascii="宋体" w:hAnsi="宋体" w:cs="宋体"/>
          <w:sz w:val="24"/>
        </w:rPr>
        <w:t>沼渣料仓颚式阀和滑架系统也应进行空载试机，测试滑架运行是否可靠，颚式阀开启无卡阻，闭合顺畅紧密。负载试验参与整套系统联动调试，推平滑架运转灵活，可以顺利摊铺物料。颚式阀带料开启和闭合顺畅，可顺利卸料和闭合，闭合后无泄漏，斜滑架带料运行顺畅，可以完成顺畅的往复运动完成破桥卸料作用。</w:t>
      </w:r>
    </w:p>
    <w:p>
      <w:pPr>
        <w:pStyle w:val="13"/>
        <w:numPr>
          <w:ilvl w:val="0"/>
          <w:numId w:val="1"/>
        </w:numPr>
        <w:jc w:val="left"/>
        <w:rPr>
          <w:sz w:val="28"/>
          <w:szCs w:val="28"/>
        </w:rPr>
      </w:pPr>
      <w:r>
        <w:rPr>
          <w:rFonts w:hint="eastAsia"/>
          <w:sz w:val="28"/>
          <w:szCs w:val="28"/>
        </w:rPr>
        <w:t>设备采购供货界面责任分区表</w:t>
      </w:r>
    </w:p>
    <w:p>
      <w:pPr>
        <w:pStyle w:val="5"/>
        <w:numPr>
          <w:ilvl w:val="3"/>
          <w:numId w:val="17"/>
        </w:numPr>
        <w:spacing w:before="0" w:after="0" w:line="240" w:lineRule="atLeast"/>
        <w:ind w:left="0" w:firstLine="0"/>
        <w:rPr>
          <w:rFonts w:hint="eastAsia" w:ascii="宋体" w:hAnsi="宋体"/>
          <w:bCs w:val="0"/>
          <w:sz w:val="24"/>
          <w:szCs w:val="24"/>
        </w:rPr>
      </w:pPr>
      <w:bookmarkStart w:id="1" w:name="_Toc508783769"/>
      <w:r>
        <w:rPr>
          <w:rFonts w:hint="eastAsia" w:ascii="宋体" w:hAnsi="宋体"/>
          <w:bCs w:val="0"/>
          <w:sz w:val="24"/>
          <w:szCs w:val="24"/>
        </w:rPr>
        <w:t>土建</w:t>
      </w:r>
      <w:bookmarkEnd w:id="1"/>
    </w:p>
    <w:p>
      <w:pPr>
        <w:pStyle w:val="20"/>
        <w:spacing w:before="120" w:after="120"/>
        <w:ind w:firstLine="424" w:firstLineChars="177"/>
        <w:rPr>
          <w:rFonts w:hint="eastAsia"/>
          <w:color w:val="auto"/>
        </w:rPr>
      </w:pPr>
      <w:r>
        <w:rPr>
          <w:rFonts w:hint="eastAsia"/>
          <w:color w:val="auto"/>
        </w:rPr>
        <w:t>甲方负责完成储存车间整体厂房建设，地坪和基础及一次性预埋件，乙方提供相关设备基础提资，其中甲方厂房现有</w:t>
      </w:r>
      <w:r>
        <w:rPr>
          <w:color w:val="auto"/>
        </w:rPr>
        <w:t>的</w:t>
      </w:r>
      <w:r>
        <w:rPr>
          <w:rFonts w:hint="eastAsia"/>
          <w:color w:val="auto"/>
        </w:rPr>
        <w:t>设备相关图纸交由乙方复核。</w:t>
      </w:r>
    </w:p>
    <w:p>
      <w:pPr>
        <w:pStyle w:val="5"/>
        <w:numPr>
          <w:ilvl w:val="3"/>
          <w:numId w:val="17"/>
        </w:numPr>
        <w:spacing w:before="0" w:after="0" w:line="240" w:lineRule="atLeast"/>
        <w:ind w:left="0" w:firstLine="0"/>
        <w:rPr>
          <w:rFonts w:hint="eastAsia" w:ascii="宋体" w:hAnsi="宋体"/>
          <w:bCs w:val="0"/>
          <w:sz w:val="24"/>
          <w:szCs w:val="24"/>
        </w:rPr>
      </w:pPr>
      <w:r>
        <w:rPr>
          <w:rFonts w:hint="eastAsia" w:ascii="宋体" w:hAnsi="宋体"/>
          <w:bCs w:val="0"/>
          <w:sz w:val="24"/>
          <w:szCs w:val="24"/>
        </w:rPr>
        <w:t>工艺</w:t>
      </w:r>
    </w:p>
    <w:p>
      <w:pPr>
        <w:pStyle w:val="20"/>
        <w:spacing w:beforeLines="0" w:afterLines="0"/>
        <w:ind w:firstLine="424" w:firstLineChars="177"/>
        <w:rPr>
          <w:rFonts w:hint="eastAsia" w:cs="宋体"/>
          <w:color w:val="auto"/>
        </w:rPr>
      </w:pPr>
      <w:r>
        <w:rPr>
          <w:rFonts w:hint="eastAsia"/>
          <w:color w:val="auto"/>
        </w:rPr>
        <w:t>乙方负责对沼渣输送及</w:t>
      </w:r>
      <w:r>
        <w:rPr>
          <w:color w:val="auto"/>
        </w:rPr>
        <w:t>储存系统的设备配置</w:t>
      </w:r>
      <w:r>
        <w:rPr>
          <w:rFonts w:hint="eastAsia"/>
          <w:color w:val="auto"/>
        </w:rPr>
        <w:t>，使整个沼渣输送</w:t>
      </w:r>
      <w:r>
        <w:rPr>
          <w:color w:val="auto"/>
        </w:rPr>
        <w:t>及储存</w:t>
      </w:r>
      <w:r>
        <w:rPr>
          <w:rFonts w:hint="eastAsia"/>
          <w:color w:val="auto"/>
        </w:rPr>
        <w:t>系统运</w:t>
      </w:r>
      <w:r>
        <w:rPr>
          <w:rFonts w:hint="eastAsia" w:cs="宋体"/>
          <w:color w:val="auto"/>
        </w:rPr>
        <w:t>行稳定流畅，达到设计输送能力及储存、</w:t>
      </w:r>
      <w:r>
        <w:rPr>
          <w:rFonts w:cs="宋体"/>
          <w:color w:val="auto"/>
        </w:rPr>
        <w:t>排</w:t>
      </w:r>
      <w:r>
        <w:rPr>
          <w:rFonts w:hint="eastAsia" w:cs="宋体"/>
          <w:color w:val="auto"/>
        </w:rPr>
        <w:t>料</w:t>
      </w:r>
      <w:r>
        <w:rPr>
          <w:rFonts w:cs="宋体"/>
          <w:color w:val="auto"/>
        </w:rPr>
        <w:t>能力；合同</w:t>
      </w:r>
      <w:r>
        <w:rPr>
          <w:rFonts w:hint="eastAsia" w:cs="宋体"/>
          <w:color w:val="auto"/>
        </w:rPr>
        <w:t>签约</w:t>
      </w:r>
      <w:r>
        <w:rPr>
          <w:rFonts w:cs="宋体"/>
          <w:color w:val="auto"/>
        </w:rPr>
        <w:t>后乙方到</w:t>
      </w:r>
      <w:r>
        <w:rPr>
          <w:rFonts w:hint="eastAsia" w:cs="宋体"/>
          <w:color w:val="auto"/>
        </w:rPr>
        <w:t>项目</w:t>
      </w:r>
      <w:r>
        <w:rPr>
          <w:rFonts w:cs="宋体"/>
          <w:color w:val="auto"/>
        </w:rPr>
        <w:t>现场核对</w:t>
      </w:r>
      <w:r>
        <w:rPr>
          <w:rFonts w:hint="eastAsia" w:cs="宋体"/>
          <w:color w:val="auto"/>
        </w:rPr>
        <w:t>车间</w:t>
      </w:r>
      <w:r>
        <w:rPr>
          <w:rFonts w:cs="宋体"/>
          <w:color w:val="auto"/>
        </w:rPr>
        <w:t>安装、配合尺寸，</w:t>
      </w:r>
      <w:r>
        <w:rPr>
          <w:rFonts w:hint="eastAsia" w:cs="宋体"/>
          <w:color w:val="auto"/>
        </w:rPr>
        <w:t>生产</w:t>
      </w:r>
      <w:r>
        <w:rPr>
          <w:rFonts w:cs="宋体"/>
          <w:color w:val="auto"/>
        </w:rPr>
        <w:t>尺寸</w:t>
      </w:r>
      <w:r>
        <w:rPr>
          <w:rFonts w:hint="eastAsia" w:cs="宋体"/>
          <w:color w:val="auto"/>
        </w:rPr>
        <w:t>以</w:t>
      </w:r>
      <w:r>
        <w:rPr>
          <w:rFonts w:cs="宋体"/>
          <w:color w:val="auto"/>
        </w:rPr>
        <w:t>乙方测量</w:t>
      </w:r>
      <w:r>
        <w:rPr>
          <w:rFonts w:hint="eastAsia" w:cs="宋体"/>
          <w:color w:val="auto"/>
        </w:rPr>
        <w:t>的</w:t>
      </w:r>
      <w:r>
        <w:rPr>
          <w:rFonts w:cs="宋体"/>
          <w:color w:val="auto"/>
        </w:rPr>
        <w:t>安装配合</w:t>
      </w:r>
      <w:r>
        <w:rPr>
          <w:rFonts w:hint="eastAsia" w:cs="宋体"/>
          <w:color w:val="auto"/>
        </w:rPr>
        <w:t>为</w:t>
      </w:r>
      <w:r>
        <w:rPr>
          <w:rFonts w:cs="宋体"/>
          <w:color w:val="auto"/>
        </w:rPr>
        <w:t>准</w:t>
      </w:r>
      <w:r>
        <w:rPr>
          <w:rFonts w:hint="eastAsia" w:cs="宋体"/>
          <w:color w:val="auto"/>
        </w:rPr>
        <w:t>，装配</w:t>
      </w:r>
      <w:r>
        <w:rPr>
          <w:rFonts w:cs="宋体"/>
          <w:color w:val="auto"/>
        </w:rPr>
        <w:t>满足现有厂房及设备；</w:t>
      </w:r>
    </w:p>
    <w:p>
      <w:pPr>
        <w:pStyle w:val="20"/>
        <w:spacing w:beforeLines="0" w:afterLines="0"/>
        <w:ind w:firstLine="424" w:firstLineChars="177"/>
        <w:rPr>
          <w:rFonts w:hint="eastAsia" w:cs="宋体"/>
          <w:color w:val="auto"/>
        </w:rPr>
      </w:pPr>
      <w:r>
        <w:rPr>
          <w:rFonts w:hint="eastAsia" w:cs="宋体"/>
          <w:color w:val="auto"/>
        </w:rPr>
        <w:t>乙方负责对该</w:t>
      </w:r>
      <w:r>
        <w:rPr>
          <w:rFonts w:cs="宋体"/>
          <w:color w:val="auto"/>
        </w:rPr>
        <w:t>合同</w:t>
      </w:r>
      <w:r>
        <w:rPr>
          <w:rFonts w:hint="eastAsia" w:cs="宋体"/>
          <w:color w:val="auto"/>
        </w:rPr>
        <w:t>整个沼渣输送及</w:t>
      </w:r>
      <w:r>
        <w:rPr>
          <w:rFonts w:cs="宋体"/>
          <w:color w:val="auto"/>
        </w:rPr>
        <w:t>储存</w:t>
      </w:r>
      <w:r>
        <w:rPr>
          <w:rFonts w:hint="eastAsia" w:cs="宋体"/>
          <w:color w:val="auto"/>
        </w:rPr>
        <w:t>系统安装</w:t>
      </w:r>
      <w:r>
        <w:rPr>
          <w:rFonts w:cs="宋体"/>
          <w:color w:val="auto"/>
        </w:rPr>
        <w:t>、</w:t>
      </w:r>
      <w:r>
        <w:rPr>
          <w:rFonts w:hint="eastAsia" w:cs="宋体"/>
          <w:color w:val="auto"/>
        </w:rPr>
        <w:t>调试、人员培训、现场运行指导。</w:t>
      </w:r>
    </w:p>
    <w:p>
      <w:pPr>
        <w:pStyle w:val="5"/>
        <w:numPr>
          <w:ilvl w:val="3"/>
          <w:numId w:val="17"/>
        </w:numPr>
        <w:spacing w:before="0" w:after="0" w:line="240" w:lineRule="atLeast"/>
        <w:ind w:left="0" w:firstLine="0"/>
        <w:rPr>
          <w:rFonts w:hint="eastAsia" w:ascii="宋体" w:hAnsi="宋体"/>
          <w:bCs w:val="0"/>
          <w:sz w:val="24"/>
          <w:szCs w:val="24"/>
        </w:rPr>
      </w:pPr>
      <w:r>
        <w:rPr>
          <w:rFonts w:hint="eastAsia" w:ascii="宋体" w:hAnsi="宋体"/>
          <w:bCs w:val="0"/>
          <w:sz w:val="24"/>
          <w:szCs w:val="24"/>
        </w:rPr>
        <w:t>电气</w:t>
      </w:r>
    </w:p>
    <w:p>
      <w:pPr>
        <w:spacing w:line="360" w:lineRule="auto"/>
        <w:ind w:firstLine="424" w:firstLineChars="177"/>
        <w:rPr>
          <w:rFonts w:hint="eastAsia" w:ascii="宋体" w:hAnsi="宋体"/>
          <w:sz w:val="24"/>
          <w:szCs w:val="24"/>
        </w:rPr>
      </w:pPr>
      <w:r>
        <w:rPr>
          <w:rFonts w:hint="eastAsia" w:ascii="宋体" w:hAnsi="宋体"/>
          <w:sz w:val="24"/>
          <w:szCs w:val="24"/>
        </w:rPr>
        <w:t>a)甲方负责将双螺旋输送机动力电源连接至设备，乙方负责接线检查、校正及确认；</w:t>
      </w:r>
    </w:p>
    <w:p>
      <w:pPr>
        <w:pStyle w:val="20"/>
        <w:spacing w:beforeLines="0" w:afterLines="0"/>
        <w:ind w:firstLine="424" w:firstLineChars="177"/>
        <w:rPr>
          <w:rFonts w:hint="eastAsia"/>
          <w:color w:val="auto"/>
        </w:rPr>
      </w:pPr>
      <w:r>
        <w:rPr>
          <w:rFonts w:hint="eastAsia"/>
          <w:color w:val="auto"/>
        </w:rPr>
        <w:t>b)甲方</w:t>
      </w:r>
      <w:r>
        <w:rPr>
          <w:color w:val="auto"/>
        </w:rPr>
        <w:t>负责将电源连接至</w:t>
      </w:r>
      <w:r>
        <w:rPr>
          <w:rFonts w:hint="eastAsia"/>
          <w:color w:val="auto"/>
        </w:rPr>
        <w:t>料仓系统现场控制柜，乙方负责接线检查、校正及确认；</w:t>
      </w:r>
    </w:p>
    <w:p>
      <w:pPr>
        <w:pStyle w:val="20"/>
        <w:spacing w:beforeLines="0" w:afterLines="0"/>
        <w:ind w:firstLine="424" w:firstLineChars="177"/>
        <w:rPr>
          <w:rFonts w:hint="eastAsia"/>
          <w:color w:val="auto"/>
        </w:rPr>
      </w:pPr>
      <w:r>
        <w:rPr>
          <w:rFonts w:hint="eastAsia"/>
          <w:color w:val="auto"/>
        </w:rPr>
        <w:t>c)甲方负责料仓系统现场控制柜至设备端的线缆敷设，乙方负责现场控制柜和设备端的接线及校正；乙方</w:t>
      </w:r>
      <w:r>
        <w:rPr>
          <w:color w:val="auto"/>
        </w:rPr>
        <w:t>的进线柜下口</w:t>
      </w:r>
      <w:r>
        <w:rPr>
          <w:rFonts w:hint="eastAsia"/>
          <w:color w:val="auto"/>
        </w:rPr>
        <w:t>，</w:t>
      </w:r>
      <w:r>
        <w:rPr>
          <w:color w:val="auto"/>
        </w:rPr>
        <w:t>并将</w:t>
      </w:r>
      <w:r>
        <w:rPr>
          <w:rFonts w:hint="eastAsia"/>
          <w:color w:val="auto"/>
        </w:rPr>
        <w:t>电源</w:t>
      </w:r>
      <w:r>
        <w:rPr>
          <w:color w:val="auto"/>
        </w:rPr>
        <w:t>线接入乙方电柜</w:t>
      </w:r>
      <w:r>
        <w:rPr>
          <w:rFonts w:hint="eastAsia"/>
          <w:color w:val="auto"/>
        </w:rPr>
        <w:t>。</w:t>
      </w:r>
    </w:p>
    <w:p>
      <w:pPr>
        <w:pStyle w:val="20"/>
        <w:spacing w:beforeLines="0" w:afterLines="0"/>
        <w:ind w:firstLine="424" w:firstLineChars="177"/>
        <w:rPr>
          <w:rFonts w:hint="eastAsia"/>
          <w:color w:val="auto"/>
        </w:rPr>
      </w:pPr>
      <w:r>
        <w:rPr>
          <w:rFonts w:hint="eastAsia"/>
          <w:color w:val="auto"/>
        </w:rPr>
        <w:t>d)甲方负责</w:t>
      </w:r>
      <w:r>
        <w:rPr>
          <w:color w:val="auto"/>
        </w:rPr>
        <w:t>设备</w:t>
      </w:r>
      <w:r>
        <w:rPr>
          <w:rFonts w:hint="eastAsia"/>
          <w:color w:val="auto"/>
        </w:rPr>
        <w:t>与控制柜之间</w:t>
      </w:r>
      <w:r>
        <w:rPr>
          <w:color w:val="auto"/>
        </w:rPr>
        <w:t>电缆、</w:t>
      </w:r>
      <w:r>
        <w:rPr>
          <w:rFonts w:hint="eastAsia"/>
          <w:color w:val="auto"/>
        </w:rPr>
        <w:t>线管</w:t>
      </w:r>
      <w:r>
        <w:rPr>
          <w:color w:val="auto"/>
        </w:rPr>
        <w:t>及桥架</w:t>
      </w:r>
      <w:r>
        <w:rPr>
          <w:rFonts w:hint="eastAsia"/>
          <w:color w:val="auto"/>
        </w:rPr>
        <w:t>、</w:t>
      </w:r>
      <w:r>
        <w:rPr>
          <w:color w:val="auto"/>
        </w:rPr>
        <w:t>安装</w:t>
      </w:r>
      <w:r>
        <w:rPr>
          <w:rFonts w:hint="eastAsia"/>
          <w:color w:val="auto"/>
        </w:rPr>
        <w:t>施工。</w:t>
      </w:r>
    </w:p>
    <w:p>
      <w:pPr>
        <w:pStyle w:val="5"/>
        <w:numPr>
          <w:ilvl w:val="3"/>
          <w:numId w:val="17"/>
        </w:numPr>
        <w:spacing w:before="0" w:after="0" w:line="240" w:lineRule="atLeast"/>
        <w:ind w:left="0" w:firstLine="0"/>
        <w:rPr>
          <w:rFonts w:hint="eastAsia" w:ascii="宋体" w:hAnsi="宋体"/>
          <w:bCs w:val="0"/>
          <w:sz w:val="24"/>
          <w:szCs w:val="24"/>
        </w:rPr>
      </w:pPr>
      <w:r>
        <w:rPr>
          <w:rFonts w:hint="eastAsia" w:ascii="宋体" w:hAnsi="宋体"/>
          <w:bCs w:val="0"/>
          <w:sz w:val="24"/>
          <w:szCs w:val="24"/>
        </w:rPr>
        <w:t>公用条件</w:t>
      </w:r>
    </w:p>
    <w:p>
      <w:pPr>
        <w:pStyle w:val="20"/>
        <w:spacing w:before="120" w:after="120"/>
        <w:ind w:left="420"/>
        <w:rPr>
          <w:rFonts w:hint="eastAsia"/>
          <w:color w:val="auto"/>
        </w:rPr>
      </w:pPr>
      <w:r>
        <w:rPr>
          <w:rFonts w:hint="eastAsia"/>
          <w:color w:val="auto"/>
        </w:rPr>
        <w:t>甲方</w:t>
      </w:r>
      <w:r>
        <w:rPr>
          <w:color w:val="auto"/>
        </w:rPr>
        <w:t>负责提供调试</w:t>
      </w:r>
      <w:r>
        <w:rPr>
          <w:rFonts w:hint="eastAsia"/>
          <w:color w:val="auto"/>
        </w:rPr>
        <w:t>、</w:t>
      </w:r>
      <w:r>
        <w:rPr>
          <w:color w:val="auto"/>
        </w:rPr>
        <w:t>生产用介质</w:t>
      </w:r>
      <w:r>
        <w:rPr>
          <w:rFonts w:hint="eastAsia"/>
          <w:color w:val="auto"/>
        </w:rPr>
        <w:t>（水、电、气），甲方</w:t>
      </w:r>
      <w:r>
        <w:rPr>
          <w:color w:val="auto"/>
        </w:rPr>
        <w:t>负责将循环冷却水、压缩空气</w:t>
      </w:r>
      <w:r>
        <w:rPr>
          <w:rFonts w:hint="eastAsia"/>
          <w:color w:val="auto"/>
        </w:rPr>
        <w:t>生产用</w:t>
      </w:r>
      <w:r>
        <w:rPr>
          <w:color w:val="auto"/>
        </w:rPr>
        <w:t>介质送至设备就近</w:t>
      </w:r>
      <w:r>
        <w:rPr>
          <w:rFonts w:hint="eastAsia"/>
          <w:color w:val="auto"/>
        </w:rPr>
        <w:t>处</w:t>
      </w:r>
      <w:r>
        <w:rPr>
          <w:color w:val="auto"/>
        </w:rPr>
        <w:t>，</w:t>
      </w:r>
      <w:r>
        <w:rPr>
          <w:rFonts w:hint="eastAsia"/>
          <w:color w:val="auto"/>
        </w:rPr>
        <w:t>乙方</w:t>
      </w:r>
      <w:r>
        <w:rPr>
          <w:color w:val="auto"/>
        </w:rPr>
        <w:t>负责将水、压缩空气接入</w:t>
      </w:r>
      <w:r>
        <w:rPr>
          <w:rFonts w:hint="eastAsia"/>
          <w:color w:val="auto"/>
        </w:rPr>
        <w:t>乙方</w:t>
      </w:r>
      <w:r>
        <w:rPr>
          <w:color w:val="auto"/>
        </w:rPr>
        <w:t>的供货设备。位置、用量详细要求由</w:t>
      </w:r>
      <w:r>
        <w:rPr>
          <w:rFonts w:hint="eastAsia"/>
          <w:color w:val="auto"/>
        </w:rPr>
        <w:t>乙方</w:t>
      </w:r>
      <w:r>
        <w:rPr>
          <w:color w:val="auto"/>
        </w:rPr>
        <w:t>提供给</w:t>
      </w:r>
      <w:r>
        <w:rPr>
          <w:rFonts w:hint="eastAsia"/>
          <w:color w:val="auto"/>
        </w:rPr>
        <w:t>甲方</w:t>
      </w:r>
      <w:r>
        <w:rPr>
          <w:color w:val="auto"/>
        </w:rPr>
        <w:t>。</w:t>
      </w:r>
    </w:p>
    <w:p>
      <w:pPr>
        <w:pStyle w:val="5"/>
        <w:numPr>
          <w:ilvl w:val="3"/>
          <w:numId w:val="17"/>
        </w:numPr>
        <w:spacing w:before="0" w:after="0" w:line="240" w:lineRule="atLeast"/>
        <w:ind w:left="0" w:firstLine="0"/>
        <w:rPr>
          <w:rFonts w:hint="eastAsia" w:ascii="宋体" w:hAnsi="宋体"/>
          <w:bCs w:val="0"/>
          <w:sz w:val="24"/>
          <w:szCs w:val="24"/>
        </w:rPr>
      </w:pPr>
      <w:r>
        <w:rPr>
          <w:rFonts w:hint="eastAsia" w:ascii="宋体" w:hAnsi="宋体"/>
          <w:bCs w:val="0"/>
          <w:sz w:val="24"/>
          <w:szCs w:val="24"/>
        </w:rPr>
        <w:t>甲乙双方责任区分表</w:t>
      </w:r>
    </w:p>
    <w:p>
      <w:pPr>
        <w:pStyle w:val="2"/>
      </w:pPr>
    </w:p>
    <w:tbl>
      <w:tblPr>
        <w:tblStyle w:val="15"/>
        <w:tblW w:w="877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99"/>
        <w:gridCol w:w="3686"/>
        <w:gridCol w:w="850"/>
        <w:gridCol w:w="851"/>
        <w:gridCol w:w="269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序号</w:t>
            </w:r>
          </w:p>
        </w:tc>
        <w:tc>
          <w:tcPr>
            <w:tcW w:w="3686"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工作内容</w:t>
            </w:r>
          </w:p>
        </w:tc>
        <w:tc>
          <w:tcPr>
            <w:tcW w:w="850"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甲方</w:t>
            </w:r>
          </w:p>
        </w:tc>
        <w:tc>
          <w:tcPr>
            <w:tcW w:w="851"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乙方</w:t>
            </w:r>
          </w:p>
        </w:tc>
        <w:tc>
          <w:tcPr>
            <w:tcW w:w="2693"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备注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w:t>
            </w:r>
          </w:p>
        </w:tc>
        <w:tc>
          <w:tcPr>
            <w:tcW w:w="8080" w:type="dxa"/>
            <w:gridSpan w:val="4"/>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基础资料</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1.1</w:t>
            </w:r>
          </w:p>
        </w:tc>
        <w:tc>
          <w:tcPr>
            <w:tcW w:w="3686" w:type="dxa"/>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设计提资、安装尺寸</w:t>
            </w:r>
          </w:p>
        </w:tc>
        <w:tc>
          <w:tcPr>
            <w:tcW w:w="850"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w:t>
            </w:r>
          </w:p>
        </w:tc>
        <w:tc>
          <w:tcPr>
            <w:tcW w:w="851" w:type="dxa"/>
            <w:vAlign w:val="center"/>
          </w:tcPr>
          <w:p>
            <w:pPr>
              <w:widowControl/>
              <w:jc w:val="center"/>
              <w:rPr>
                <w:rFonts w:hint="eastAsia" w:asciiTheme="minorEastAsia" w:hAnsiTheme="minorEastAsia" w:eastAsiaTheme="minorEastAsia" w:cstheme="minorEastAsia"/>
                <w:color w:val="000000"/>
                <w:kern w:val="0"/>
                <w:szCs w:val="21"/>
              </w:rPr>
            </w:pPr>
          </w:p>
        </w:tc>
        <w:tc>
          <w:tcPr>
            <w:tcW w:w="2693" w:type="dxa"/>
            <w:vAlign w:val="center"/>
          </w:tcPr>
          <w:p>
            <w:pPr>
              <w:widowControl/>
              <w:jc w:val="center"/>
              <w:rPr>
                <w:rFonts w:hint="eastAsia" w:asciiTheme="minorEastAsia" w:hAnsiTheme="minorEastAsia" w:eastAsiaTheme="minorEastAsia" w:cstheme="minorEastAsia"/>
                <w:color w:val="000000"/>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1.2</w:t>
            </w:r>
          </w:p>
        </w:tc>
        <w:tc>
          <w:tcPr>
            <w:tcW w:w="3686" w:type="dxa"/>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土建、基础</w:t>
            </w:r>
          </w:p>
        </w:tc>
        <w:tc>
          <w:tcPr>
            <w:tcW w:w="850"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w:t>
            </w:r>
          </w:p>
        </w:tc>
        <w:tc>
          <w:tcPr>
            <w:tcW w:w="851"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w:t>
            </w:r>
          </w:p>
        </w:tc>
        <w:tc>
          <w:tcPr>
            <w:tcW w:w="2693" w:type="dxa"/>
            <w:vAlign w:val="center"/>
          </w:tcPr>
          <w:p>
            <w:pPr>
              <w:widowControl/>
              <w:jc w:val="center"/>
              <w:rPr>
                <w:rFonts w:hint="eastAsia" w:asciiTheme="minorEastAsia" w:hAnsiTheme="minorEastAsia" w:eastAsiaTheme="minorEastAsia" w:cstheme="minorEastAsia"/>
                <w:color w:val="000000"/>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1.3</w:t>
            </w:r>
          </w:p>
        </w:tc>
        <w:tc>
          <w:tcPr>
            <w:tcW w:w="3686" w:type="dxa"/>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安装调试水、电、物料</w:t>
            </w:r>
          </w:p>
        </w:tc>
        <w:tc>
          <w:tcPr>
            <w:tcW w:w="850"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w:t>
            </w:r>
          </w:p>
        </w:tc>
        <w:tc>
          <w:tcPr>
            <w:tcW w:w="851" w:type="dxa"/>
            <w:vAlign w:val="center"/>
          </w:tcPr>
          <w:p>
            <w:pPr>
              <w:widowControl/>
              <w:jc w:val="center"/>
              <w:rPr>
                <w:rFonts w:hint="eastAsia" w:asciiTheme="minorEastAsia" w:hAnsiTheme="minorEastAsia" w:eastAsiaTheme="minorEastAsia" w:cstheme="minorEastAsia"/>
                <w:color w:val="000000"/>
                <w:kern w:val="0"/>
                <w:szCs w:val="21"/>
              </w:rPr>
            </w:pPr>
          </w:p>
        </w:tc>
        <w:tc>
          <w:tcPr>
            <w:tcW w:w="2693" w:type="dxa"/>
            <w:vAlign w:val="center"/>
          </w:tcPr>
          <w:p>
            <w:pPr>
              <w:widowControl/>
              <w:jc w:val="center"/>
              <w:rPr>
                <w:rFonts w:hint="eastAsia" w:asciiTheme="minorEastAsia" w:hAnsiTheme="minorEastAsia" w:eastAsiaTheme="minorEastAsia" w:cstheme="minorEastAsia"/>
                <w:color w:val="000000"/>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2</w:t>
            </w:r>
          </w:p>
        </w:tc>
        <w:tc>
          <w:tcPr>
            <w:tcW w:w="8080" w:type="dxa"/>
            <w:gridSpan w:val="4"/>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设计供货</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2.1</w:t>
            </w:r>
          </w:p>
        </w:tc>
        <w:tc>
          <w:tcPr>
            <w:tcW w:w="3686" w:type="dxa"/>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设计提资、安装尺寸图</w:t>
            </w:r>
          </w:p>
        </w:tc>
        <w:tc>
          <w:tcPr>
            <w:tcW w:w="850"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w:t>
            </w:r>
          </w:p>
        </w:tc>
        <w:tc>
          <w:tcPr>
            <w:tcW w:w="851" w:type="dxa"/>
            <w:vAlign w:val="center"/>
          </w:tcPr>
          <w:p>
            <w:pPr>
              <w:widowControl/>
              <w:jc w:val="center"/>
              <w:rPr>
                <w:rFonts w:hint="eastAsia" w:asciiTheme="minorEastAsia" w:hAnsiTheme="minorEastAsia" w:eastAsiaTheme="minorEastAsia" w:cstheme="minorEastAsia"/>
                <w:color w:val="000000"/>
                <w:kern w:val="0"/>
                <w:szCs w:val="21"/>
              </w:rPr>
            </w:pPr>
          </w:p>
        </w:tc>
        <w:tc>
          <w:tcPr>
            <w:tcW w:w="2693" w:type="dxa"/>
            <w:vAlign w:val="center"/>
          </w:tcPr>
          <w:p>
            <w:pPr>
              <w:widowControl/>
              <w:jc w:val="center"/>
              <w:rPr>
                <w:rFonts w:hint="eastAsia" w:asciiTheme="minorEastAsia" w:hAnsiTheme="minorEastAsia" w:eastAsiaTheme="minorEastAsia" w:cstheme="minorEastAsia"/>
                <w:color w:val="000000"/>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2.2</w:t>
            </w:r>
          </w:p>
        </w:tc>
        <w:tc>
          <w:tcPr>
            <w:tcW w:w="3686" w:type="dxa"/>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设计，生产加工图</w:t>
            </w:r>
          </w:p>
        </w:tc>
        <w:tc>
          <w:tcPr>
            <w:tcW w:w="850" w:type="dxa"/>
            <w:vAlign w:val="center"/>
          </w:tcPr>
          <w:p>
            <w:pPr>
              <w:widowControl/>
              <w:jc w:val="center"/>
              <w:rPr>
                <w:rFonts w:hint="eastAsia" w:asciiTheme="minorEastAsia" w:hAnsiTheme="minorEastAsia" w:eastAsiaTheme="minorEastAsia" w:cstheme="minorEastAsia"/>
                <w:color w:val="000000"/>
                <w:kern w:val="0"/>
                <w:szCs w:val="21"/>
              </w:rPr>
            </w:pPr>
          </w:p>
        </w:tc>
        <w:tc>
          <w:tcPr>
            <w:tcW w:w="851"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w:t>
            </w:r>
          </w:p>
        </w:tc>
        <w:tc>
          <w:tcPr>
            <w:tcW w:w="2693" w:type="dxa"/>
            <w:vAlign w:val="center"/>
          </w:tcPr>
          <w:p>
            <w:pPr>
              <w:widowControl/>
              <w:jc w:val="center"/>
              <w:rPr>
                <w:rFonts w:hint="eastAsia" w:asciiTheme="minorEastAsia" w:hAnsiTheme="minorEastAsia" w:eastAsiaTheme="minorEastAsia" w:cstheme="minorEastAsia"/>
                <w:color w:val="000000"/>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2.3</w:t>
            </w:r>
          </w:p>
        </w:tc>
        <w:tc>
          <w:tcPr>
            <w:tcW w:w="3686" w:type="dxa"/>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加工制造</w:t>
            </w:r>
          </w:p>
        </w:tc>
        <w:tc>
          <w:tcPr>
            <w:tcW w:w="850" w:type="dxa"/>
            <w:vAlign w:val="center"/>
          </w:tcPr>
          <w:p>
            <w:pPr>
              <w:widowControl/>
              <w:jc w:val="center"/>
              <w:rPr>
                <w:rFonts w:hint="eastAsia" w:asciiTheme="minorEastAsia" w:hAnsiTheme="minorEastAsia" w:eastAsiaTheme="minorEastAsia" w:cstheme="minorEastAsia"/>
                <w:color w:val="000000"/>
                <w:kern w:val="0"/>
                <w:szCs w:val="21"/>
              </w:rPr>
            </w:pPr>
          </w:p>
        </w:tc>
        <w:tc>
          <w:tcPr>
            <w:tcW w:w="851"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w:t>
            </w:r>
          </w:p>
        </w:tc>
        <w:tc>
          <w:tcPr>
            <w:tcW w:w="2693" w:type="dxa"/>
            <w:vAlign w:val="center"/>
          </w:tcPr>
          <w:p>
            <w:pPr>
              <w:widowControl/>
              <w:jc w:val="center"/>
              <w:rPr>
                <w:rFonts w:hint="eastAsia" w:asciiTheme="minorEastAsia" w:hAnsiTheme="minorEastAsia" w:eastAsiaTheme="minorEastAsia" w:cstheme="minorEastAsia"/>
                <w:color w:val="000000"/>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2.4</w:t>
            </w:r>
          </w:p>
        </w:tc>
        <w:tc>
          <w:tcPr>
            <w:tcW w:w="3686" w:type="dxa"/>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合同设备供货</w:t>
            </w:r>
          </w:p>
        </w:tc>
        <w:tc>
          <w:tcPr>
            <w:tcW w:w="850" w:type="dxa"/>
            <w:vAlign w:val="center"/>
          </w:tcPr>
          <w:p>
            <w:pPr>
              <w:widowControl/>
              <w:jc w:val="center"/>
              <w:rPr>
                <w:rFonts w:hint="eastAsia" w:asciiTheme="minorEastAsia" w:hAnsiTheme="minorEastAsia" w:eastAsiaTheme="minorEastAsia" w:cstheme="minorEastAsia"/>
                <w:color w:val="000000"/>
                <w:kern w:val="0"/>
                <w:szCs w:val="21"/>
              </w:rPr>
            </w:pPr>
          </w:p>
        </w:tc>
        <w:tc>
          <w:tcPr>
            <w:tcW w:w="851"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w:t>
            </w:r>
          </w:p>
        </w:tc>
        <w:tc>
          <w:tcPr>
            <w:tcW w:w="2693"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含电机、减速器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65" w:hRule="exact"/>
          <w:jc w:val="center"/>
        </w:trPr>
        <w:tc>
          <w:tcPr>
            <w:tcW w:w="699" w:type="dxa"/>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2.</w:t>
            </w:r>
            <w:r>
              <w:rPr>
                <w:rFonts w:asciiTheme="minorEastAsia" w:hAnsiTheme="minorEastAsia" w:eastAsiaTheme="minorEastAsia" w:cstheme="minorEastAsia"/>
                <w:color w:val="000000"/>
                <w:kern w:val="0"/>
                <w:szCs w:val="21"/>
              </w:rPr>
              <w:t>5</w:t>
            </w:r>
          </w:p>
        </w:tc>
        <w:tc>
          <w:tcPr>
            <w:tcW w:w="3686" w:type="dxa"/>
          </w:tcPr>
          <w:p>
            <w:pPr>
              <w:rPr>
                <w:rFonts w:hint="eastAsia" w:ascii="宋体" w:hAnsi="宋体"/>
                <w:szCs w:val="21"/>
              </w:rPr>
            </w:pPr>
            <w:r>
              <w:rPr>
                <w:rFonts w:hint="eastAsia" w:ascii="宋体" w:hAnsi="宋体"/>
                <w:szCs w:val="21"/>
              </w:rPr>
              <w:t>所有的安装钢材、管道、阀门、仪表材料</w:t>
            </w:r>
          </w:p>
        </w:tc>
        <w:tc>
          <w:tcPr>
            <w:tcW w:w="850" w:type="dxa"/>
            <w:vAlign w:val="center"/>
          </w:tcPr>
          <w:p>
            <w:pPr>
              <w:jc w:val="center"/>
              <w:rPr>
                <w:rFonts w:hint="eastAsia" w:ascii="宋体" w:hAnsi="宋体"/>
                <w:szCs w:val="21"/>
              </w:rPr>
            </w:pPr>
          </w:p>
        </w:tc>
        <w:tc>
          <w:tcPr>
            <w:tcW w:w="851" w:type="dxa"/>
            <w:vAlign w:val="center"/>
          </w:tcPr>
          <w:p>
            <w:pPr>
              <w:jc w:val="center"/>
              <w:rPr>
                <w:rFonts w:hint="eastAsia" w:ascii="宋体" w:hAnsi="宋体"/>
                <w:szCs w:val="21"/>
              </w:rPr>
            </w:pPr>
            <w:r>
              <w:rPr>
                <w:rFonts w:hint="eastAsia" w:ascii="宋体" w:hAnsi="宋体"/>
                <w:szCs w:val="21"/>
              </w:rPr>
              <w:t>√</w:t>
            </w:r>
          </w:p>
        </w:tc>
        <w:tc>
          <w:tcPr>
            <w:tcW w:w="2693" w:type="dxa"/>
          </w:tcPr>
          <w:p>
            <w:pPr>
              <w:rPr>
                <w:rFonts w:hint="eastAsia" w:ascii="宋体" w:hAnsi="宋体"/>
                <w:szCs w:val="21"/>
              </w:rPr>
            </w:pPr>
            <w:r>
              <w:rPr>
                <w:rFonts w:hint="eastAsia" w:ascii="宋体" w:hAnsi="宋体"/>
                <w:szCs w:val="21"/>
              </w:rPr>
              <w:t>含气动阀、气管及相应配件</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2.</w:t>
            </w:r>
            <w:r>
              <w:rPr>
                <w:rFonts w:asciiTheme="minorEastAsia" w:hAnsiTheme="minorEastAsia" w:eastAsiaTheme="minorEastAsia" w:cstheme="minorEastAsia"/>
                <w:color w:val="000000"/>
                <w:kern w:val="0"/>
                <w:szCs w:val="21"/>
              </w:rPr>
              <w:t>6</w:t>
            </w:r>
          </w:p>
        </w:tc>
        <w:tc>
          <w:tcPr>
            <w:tcW w:w="3686" w:type="dxa"/>
          </w:tcPr>
          <w:p>
            <w:pPr>
              <w:rPr>
                <w:rFonts w:hint="eastAsia" w:ascii="宋体" w:hAnsi="宋体"/>
                <w:szCs w:val="21"/>
              </w:rPr>
            </w:pPr>
            <w:r>
              <w:rPr>
                <w:rFonts w:hint="eastAsia" w:ascii="宋体" w:hAnsi="宋体"/>
                <w:szCs w:val="21"/>
              </w:rPr>
              <w:t>系统</w:t>
            </w:r>
            <w:r>
              <w:rPr>
                <w:rFonts w:ascii="宋体" w:hAnsi="宋体"/>
                <w:szCs w:val="21"/>
              </w:rPr>
              <w:t>配套的标准或</w:t>
            </w:r>
            <w:r>
              <w:rPr>
                <w:rFonts w:hint="eastAsia" w:ascii="宋体" w:hAnsi="宋体"/>
                <w:szCs w:val="21"/>
              </w:rPr>
              <w:t>非标设备</w:t>
            </w:r>
          </w:p>
        </w:tc>
        <w:tc>
          <w:tcPr>
            <w:tcW w:w="850" w:type="dxa"/>
            <w:vAlign w:val="center"/>
          </w:tcPr>
          <w:p>
            <w:pPr>
              <w:jc w:val="center"/>
              <w:rPr>
                <w:rFonts w:hint="eastAsia" w:ascii="宋体" w:hAnsi="宋体"/>
                <w:szCs w:val="21"/>
              </w:rPr>
            </w:pPr>
          </w:p>
        </w:tc>
        <w:tc>
          <w:tcPr>
            <w:tcW w:w="851" w:type="dxa"/>
            <w:vAlign w:val="center"/>
          </w:tcPr>
          <w:p>
            <w:pPr>
              <w:jc w:val="center"/>
              <w:rPr>
                <w:rFonts w:hint="eastAsia" w:ascii="宋体" w:hAnsi="宋体"/>
                <w:szCs w:val="21"/>
              </w:rPr>
            </w:pPr>
            <w:r>
              <w:rPr>
                <w:rFonts w:hint="eastAsia" w:ascii="宋体" w:hAnsi="宋体"/>
                <w:szCs w:val="21"/>
              </w:rPr>
              <w:t>√</w:t>
            </w:r>
          </w:p>
        </w:tc>
        <w:tc>
          <w:tcPr>
            <w:tcW w:w="2693" w:type="dxa"/>
          </w:tcPr>
          <w:p>
            <w:pPr>
              <w:rPr>
                <w:rFonts w:hint="eastAsia" w:ascii="宋体" w:hAnsi="宋体"/>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2.</w:t>
            </w:r>
            <w:r>
              <w:rPr>
                <w:rFonts w:asciiTheme="minorEastAsia" w:hAnsiTheme="minorEastAsia" w:eastAsiaTheme="minorEastAsia" w:cstheme="minorEastAsia"/>
                <w:color w:val="000000"/>
                <w:kern w:val="0"/>
                <w:szCs w:val="21"/>
              </w:rPr>
              <w:t>7</w:t>
            </w:r>
          </w:p>
        </w:tc>
        <w:tc>
          <w:tcPr>
            <w:tcW w:w="3686" w:type="dxa"/>
          </w:tcPr>
          <w:p>
            <w:pPr>
              <w:rPr>
                <w:rFonts w:hint="eastAsia" w:ascii="宋体" w:hAnsi="宋体"/>
                <w:szCs w:val="21"/>
              </w:rPr>
            </w:pPr>
            <w:r>
              <w:rPr>
                <w:rFonts w:hint="eastAsia" w:ascii="宋体" w:hAnsi="宋体"/>
                <w:szCs w:val="21"/>
              </w:rPr>
              <w:t>设备支架</w:t>
            </w:r>
            <w:r>
              <w:rPr>
                <w:rFonts w:hint="eastAsia" w:ascii="宋体" w:hAnsi="宋体"/>
                <w:color w:val="FF0000"/>
                <w:szCs w:val="21"/>
              </w:rPr>
              <w:t>、护栏及紧固件</w:t>
            </w:r>
          </w:p>
        </w:tc>
        <w:tc>
          <w:tcPr>
            <w:tcW w:w="850" w:type="dxa"/>
            <w:vAlign w:val="center"/>
          </w:tcPr>
          <w:p>
            <w:pPr>
              <w:jc w:val="center"/>
              <w:rPr>
                <w:rFonts w:hint="eastAsia" w:ascii="宋体" w:hAnsi="宋体"/>
                <w:szCs w:val="21"/>
              </w:rPr>
            </w:pPr>
          </w:p>
        </w:tc>
        <w:tc>
          <w:tcPr>
            <w:tcW w:w="851" w:type="dxa"/>
            <w:vAlign w:val="center"/>
          </w:tcPr>
          <w:p>
            <w:pPr>
              <w:jc w:val="center"/>
              <w:rPr>
                <w:rFonts w:hint="eastAsia" w:ascii="宋体" w:hAnsi="宋体"/>
                <w:szCs w:val="21"/>
              </w:rPr>
            </w:pPr>
            <w:r>
              <w:rPr>
                <w:rFonts w:hint="eastAsia" w:ascii="宋体" w:hAnsi="宋体"/>
                <w:szCs w:val="21"/>
              </w:rPr>
              <w:t>√</w:t>
            </w:r>
          </w:p>
        </w:tc>
        <w:tc>
          <w:tcPr>
            <w:tcW w:w="2693" w:type="dxa"/>
          </w:tcPr>
          <w:p>
            <w:pPr>
              <w:rPr>
                <w:rFonts w:hint="eastAsia" w:ascii="宋体" w:hAnsi="宋体"/>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2.</w:t>
            </w:r>
            <w:r>
              <w:rPr>
                <w:rFonts w:asciiTheme="minorEastAsia" w:hAnsiTheme="minorEastAsia" w:eastAsiaTheme="minorEastAsia" w:cstheme="minorEastAsia"/>
                <w:color w:val="000000"/>
                <w:kern w:val="0"/>
                <w:szCs w:val="21"/>
              </w:rPr>
              <w:t>8</w:t>
            </w:r>
          </w:p>
        </w:tc>
        <w:tc>
          <w:tcPr>
            <w:tcW w:w="3686" w:type="dxa"/>
          </w:tcPr>
          <w:p>
            <w:pPr>
              <w:rPr>
                <w:rFonts w:hint="eastAsia" w:ascii="宋体" w:hAnsi="宋体"/>
                <w:szCs w:val="21"/>
              </w:rPr>
            </w:pPr>
            <w:r>
              <w:rPr>
                <w:rFonts w:hint="eastAsia" w:ascii="宋体" w:hAnsi="宋体"/>
                <w:szCs w:val="21"/>
              </w:rPr>
              <w:t>过程仪表</w:t>
            </w:r>
          </w:p>
        </w:tc>
        <w:tc>
          <w:tcPr>
            <w:tcW w:w="850" w:type="dxa"/>
            <w:vAlign w:val="center"/>
          </w:tcPr>
          <w:p>
            <w:pPr>
              <w:jc w:val="center"/>
              <w:rPr>
                <w:rFonts w:hint="eastAsia" w:ascii="宋体" w:hAnsi="宋体"/>
                <w:szCs w:val="21"/>
              </w:rPr>
            </w:pPr>
          </w:p>
        </w:tc>
        <w:tc>
          <w:tcPr>
            <w:tcW w:w="851" w:type="dxa"/>
            <w:vAlign w:val="center"/>
          </w:tcPr>
          <w:p>
            <w:pPr>
              <w:jc w:val="center"/>
              <w:rPr>
                <w:rFonts w:hint="eastAsia" w:ascii="宋体" w:hAnsi="宋体"/>
                <w:szCs w:val="21"/>
              </w:rPr>
            </w:pPr>
            <w:r>
              <w:rPr>
                <w:rFonts w:hint="eastAsia" w:ascii="宋体" w:hAnsi="宋体"/>
                <w:szCs w:val="21"/>
              </w:rPr>
              <w:t>√</w:t>
            </w:r>
          </w:p>
        </w:tc>
        <w:tc>
          <w:tcPr>
            <w:tcW w:w="2693" w:type="dxa"/>
          </w:tcPr>
          <w:p>
            <w:pPr>
              <w:rPr>
                <w:rFonts w:hint="eastAsia" w:ascii="宋体" w:hAnsi="宋体"/>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2.</w:t>
            </w:r>
            <w:r>
              <w:rPr>
                <w:rFonts w:asciiTheme="minorEastAsia" w:hAnsiTheme="minorEastAsia" w:eastAsiaTheme="minorEastAsia" w:cstheme="minorEastAsia"/>
                <w:color w:val="000000"/>
                <w:kern w:val="0"/>
                <w:szCs w:val="21"/>
              </w:rPr>
              <w:t>9</w:t>
            </w:r>
          </w:p>
        </w:tc>
        <w:tc>
          <w:tcPr>
            <w:tcW w:w="3686" w:type="dxa"/>
          </w:tcPr>
          <w:p>
            <w:pPr>
              <w:rPr>
                <w:rFonts w:hint="eastAsia" w:ascii="宋体" w:hAnsi="宋体"/>
                <w:szCs w:val="21"/>
              </w:rPr>
            </w:pPr>
            <w:r>
              <w:rPr>
                <w:rFonts w:hint="eastAsia" w:ascii="宋体" w:hAnsi="宋体"/>
                <w:szCs w:val="21"/>
              </w:rPr>
              <w:t>喷砂除锈、油漆</w:t>
            </w:r>
          </w:p>
        </w:tc>
        <w:tc>
          <w:tcPr>
            <w:tcW w:w="850" w:type="dxa"/>
            <w:vAlign w:val="center"/>
          </w:tcPr>
          <w:p>
            <w:pPr>
              <w:jc w:val="center"/>
              <w:rPr>
                <w:rFonts w:hint="eastAsia" w:ascii="宋体" w:hAnsi="宋体"/>
                <w:szCs w:val="21"/>
              </w:rPr>
            </w:pPr>
          </w:p>
        </w:tc>
        <w:tc>
          <w:tcPr>
            <w:tcW w:w="851" w:type="dxa"/>
            <w:vAlign w:val="center"/>
          </w:tcPr>
          <w:p>
            <w:pPr>
              <w:jc w:val="center"/>
              <w:rPr>
                <w:rFonts w:hint="eastAsia" w:ascii="宋体" w:hAnsi="宋体"/>
                <w:szCs w:val="21"/>
              </w:rPr>
            </w:pPr>
            <w:r>
              <w:rPr>
                <w:rFonts w:hint="eastAsia" w:ascii="宋体" w:hAnsi="宋体"/>
                <w:szCs w:val="21"/>
              </w:rPr>
              <w:t>√</w:t>
            </w:r>
          </w:p>
        </w:tc>
        <w:tc>
          <w:tcPr>
            <w:tcW w:w="2693" w:type="dxa"/>
          </w:tcPr>
          <w:p>
            <w:pPr>
              <w:rPr>
                <w:rFonts w:hint="eastAsia" w:ascii="宋体" w:hAnsi="宋体"/>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2.</w:t>
            </w:r>
            <w:r>
              <w:rPr>
                <w:rFonts w:asciiTheme="minorEastAsia" w:hAnsiTheme="minorEastAsia" w:eastAsiaTheme="minorEastAsia" w:cstheme="minorEastAsia"/>
                <w:color w:val="000000"/>
                <w:kern w:val="0"/>
                <w:szCs w:val="21"/>
              </w:rPr>
              <w:t>10</w:t>
            </w:r>
          </w:p>
        </w:tc>
        <w:tc>
          <w:tcPr>
            <w:tcW w:w="3686" w:type="dxa"/>
          </w:tcPr>
          <w:p>
            <w:pPr>
              <w:rPr>
                <w:rFonts w:hint="eastAsia" w:ascii="宋体" w:hAnsi="宋体"/>
                <w:szCs w:val="21"/>
              </w:rPr>
            </w:pPr>
            <w:r>
              <w:rPr>
                <w:rFonts w:hint="eastAsia" w:ascii="宋体" w:hAnsi="宋体"/>
                <w:szCs w:val="21"/>
              </w:rPr>
              <w:t>安装辅材、辅料</w:t>
            </w:r>
          </w:p>
        </w:tc>
        <w:tc>
          <w:tcPr>
            <w:tcW w:w="850" w:type="dxa"/>
            <w:vAlign w:val="center"/>
          </w:tcPr>
          <w:p>
            <w:pPr>
              <w:jc w:val="center"/>
              <w:rPr>
                <w:rFonts w:hint="eastAsia" w:ascii="宋体" w:hAnsi="宋体"/>
                <w:szCs w:val="21"/>
              </w:rPr>
            </w:pPr>
          </w:p>
        </w:tc>
        <w:tc>
          <w:tcPr>
            <w:tcW w:w="851" w:type="dxa"/>
            <w:vAlign w:val="center"/>
          </w:tcPr>
          <w:p>
            <w:pPr>
              <w:jc w:val="center"/>
              <w:rPr>
                <w:rFonts w:hint="eastAsia" w:ascii="宋体" w:hAnsi="宋体"/>
                <w:szCs w:val="21"/>
              </w:rPr>
            </w:pPr>
            <w:r>
              <w:rPr>
                <w:rFonts w:hint="eastAsia" w:ascii="宋体" w:hAnsi="宋体"/>
                <w:szCs w:val="21"/>
              </w:rPr>
              <w:t>√</w:t>
            </w:r>
          </w:p>
        </w:tc>
        <w:tc>
          <w:tcPr>
            <w:tcW w:w="2693" w:type="dxa"/>
          </w:tcPr>
          <w:p>
            <w:pPr>
              <w:rPr>
                <w:rFonts w:hint="eastAsia" w:ascii="宋体" w:hAnsi="宋体"/>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2.</w:t>
            </w:r>
            <w:r>
              <w:rPr>
                <w:rFonts w:asciiTheme="minorEastAsia" w:hAnsiTheme="minorEastAsia" w:eastAsiaTheme="minorEastAsia" w:cstheme="minorEastAsia"/>
                <w:color w:val="000000"/>
                <w:kern w:val="0"/>
                <w:szCs w:val="21"/>
              </w:rPr>
              <w:t>11</w:t>
            </w:r>
          </w:p>
        </w:tc>
        <w:tc>
          <w:tcPr>
            <w:tcW w:w="3686" w:type="dxa"/>
          </w:tcPr>
          <w:p>
            <w:pPr>
              <w:rPr>
                <w:rFonts w:hint="eastAsia" w:ascii="宋体" w:hAnsi="宋体"/>
                <w:szCs w:val="21"/>
              </w:rPr>
            </w:pPr>
            <w:r>
              <w:rPr>
                <w:rFonts w:hint="eastAsia" w:ascii="宋体" w:hAnsi="宋体"/>
                <w:szCs w:val="21"/>
              </w:rPr>
              <w:t>调试用液压油、润滑脂等</w:t>
            </w:r>
          </w:p>
        </w:tc>
        <w:tc>
          <w:tcPr>
            <w:tcW w:w="850" w:type="dxa"/>
            <w:vAlign w:val="center"/>
          </w:tcPr>
          <w:p>
            <w:pPr>
              <w:jc w:val="center"/>
              <w:rPr>
                <w:rFonts w:hint="eastAsia" w:ascii="宋体" w:hAnsi="宋体"/>
                <w:szCs w:val="21"/>
              </w:rPr>
            </w:pPr>
          </w:p>
        </w:tc>
        <w:tc>
          <w:tcPr>
            <w:tcW w:w="851" w:type="dxa"/>
            <w:vAlign w:val="center"/>
          </w:tcPr>
          <w:p>
            <w:pPr>
              <w:jc w:val="center"/>
              <w:rPr>
                <w:rFonts w:hint="eastAsia" w:ascii="宋体" w:hAnsi="宋体"/>
                <w:szCs w:val="21"/>
              </w:rPr>
            </w:pPr>
            <w:r>
              <w:rPr>
                <w:rFonts w:hint="eastAsia" w:ascii="宋体" w:hAnsi="宋体"/>
                <w:szCs w:val="21"/>
              </w:rPr>
              <w:t>√</w:t>
            </w:r>
          </w:p>
        </w:tc>
        <w:tc>
          <w:tcPr>
            <w:tcW w:w="2693" w:type="dxa"/>
          </w:tcPr>
          <w:p>
            <w:pPr>
              <w:rPr>
                <w:rFonts w:hint="eastAsia" w:ascii="宋体" w:hAnsi="宋体"/>
                <w:szCs w:val="21"/>
              </w:rPr>
            </w:pPr>
            <w:r>
              <w:rPr>
                <w:rFonts w:hint="eastAsia" w:ascii="宋体" w:hAnsi="宋体"/>
                <w:szCs w:val="21"/>
              </w:rPr>
              <w:t>长城牌</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33"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2.5</w:t>
            </w:r>
          </w:p>
        </w:tc>
        <w:tc>
          <w:tcPr>
            <w:tcW w:w="3686" w:type="dxa"/>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电气柜</w:t>
            </w:r>
          </w:p>
        </w:tc>
        <w:tc>
          <w:tcPr>
            <w:tcW w:w="850"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宋体" w:hAnsi="宋体"/>
                <w:szCs w:val="21"/>
              </w:rPr>
              <w:t>√</w:t>
            </w:r>
          </w:p>
        </w:tc>
        <w:tc>
          <w:tcPr>
            <w:tcW w:w="851"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w:t>
            </w:r>
          </w:p>
        </w:tc>
        <w:tc>
          <w:tcPr>
            <w:tcW w:w="2693"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螺旋输送</w:t>
            </w:r>
            <w:r>
              <w:rPr>
                <w:rFonts w:asciiTheme="minorEastAsia" w:hAnsiTheme="minorEastAsia" w:eastAsiaTheme="minorEastAsia" w:cstheme="minorEastAsia"/>
                <w:color w:val="000000"/>
                <w:kern w:val="0"/>
                <w:szCs w:val="21"/>
              </w:rPr>
              <w:t>机电气柜由甲方负责</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0"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2.6</w:t>
            </w:r>
          </w:p>
        </w:tc>
        <w:tc>
          <w:tcPr>
            <w:tcW w:w="3686" w:type="dxa"/>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备品备件(填料/轴承/密封胶垫/机脚螺栓)</w:t>
            </w:r>
          </w:p>
        </w:tc>
        <w:tc>
          <w:tcPr>
            <w:tcW w:w="850" w:type="dxa"/>
            <w:vAlign w:val="center"/>
          </w:tcPr>
          <w:p>
            <w:pPr>
              <w:widowControl/>
              <w:jc w:val="center"/>
              <w:rPr>
                <w:rFonts w:hint="eastAsia" w:asciiTheme="minorEastAsia" w:hAnsiTheme="minorEastAsia" w:eastAsiaTheme="minorEastAsia" w:cstheme="minorEastAsia"/>
                <w:color w:val="000000"/>
                <w:kern w:val="0"/>
                <w:szCs w:val="21"/>
              </w:rPr>
            </w:pPr>
          </w:p>
        </w:tc>
        <w:tc>
          <w:tcPr>
            <w:tcW w:w="851"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w:t>
            </w:r>
          </w:p>
        </w:tc>
        <w:tc>
          <w:tcPr>
            <w:tcW w:w="2693"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见附件备品备件清单</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2.7</w:t>
            </w:r>
          </w:p>
        </w:tc>
        <w:tc>
          <w:tcPr>
            <w:tcW w:w="3686" w:type="dxa"/>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减速器/轴承油脂,出厂前注入</w:t>
            </w:r>
          </w:p>
        </w:tc>
        <w:tc>
          <w:tcPr>
            <w:tcW w:w="850" w:type="dxa"/>
            <w:vAlign w:val="center"/>
          </w:tcPr>
          <w:p>
            <w:pPr>
              <w:widowControl/>
              <w:jc w:val="center"/>
              <w:rPr>
                <w:rFonts w:hint="eastAsia" w:asciiTheme="minorEastAsia" w:hAnsiTheme="minorEastAsia" w:eastAsiaTheme="minorEastAsia" w:cstheme="minorEastAsia"/>
                <w:color w:val="000000"/>
                <w:kern w:val="0"/>
                <w:szCs w:val="21"/>
              </w:rPr>
            </w:pPr>
          </w:p>
        </w:tc>
        <w:tc>
          <w:tcPr>
            <w:tcW w:w="851"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w:t>
            </w:r>
          </w:p>
        </w:tc>
        <w:tc>
          <w:tcPr>
            <w:tcW w:w="2693" w:type="dxa"/>
            <w:vAlign w:val="center"/>
          </w:tcPr>
          <w:p>
            <w:pPr>
              <w:widowControl/>
              <w:jc w:val="center"/>
              <w:rPr>
                <w:rFonts w:hint="eastAsia" w:asciiTheme="minorEastAsia" w:hAnsiTheme="minorEastAsia" w:eastAsiaTheme="minorEastAsia" w:cstheme="minorEastAsia"/>
                <w:color w:val="000000"/>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3</w:t>
            </w:r>
          </w:p>
        </w:tc>
        <w:tc>
          <w:tcPr>
            <w:tcW w:w="8080" w:type="dxa"/>
            <w:gridSpan w:val="4"/>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运输、装卸</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3.1</w:t>
            </w:r>
          </w:p>
        </w:tc>
        <w:tc>
          <w:tcPr>
            <w:tcW w:w="3686" w:type="dxa"/>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出厂前整体拼装达标</w:t>
            </w:r>
          </w:p>
        </w:tc>
        <w:tc>
          <w:tcPr>
            <w:tcW w:w="850" w:type="dxa"/>
            <w:vAlign w:val="center"/>
          </w:tcPr>
          <w:p>
            <w:pPr>
              <w:widowControl/>
              <w:jc w:val="center"/>
              <w:rPr>
                <w:rFonts w:hint="eastAsia" w:asciiTheme="minorEastAsia" w:hAnsiTheme="minorEastAsia" w:eastAsiaTheme="minorEastAsia" w:cstheme="minorEastAsia"/>
                <w:color w:val="000000"/>
                <w:kern w:val="0"/>
                <w:szCs w:val="21"/>
              </w:rPr>
            </w:pPr>
          </w:p>
        </w:tc>
        <w:tc>
          <w:tcPr>
            <w:tcW w:w="851"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w:t>
            </w:r>
          </w:p>
        </w:tc>
        <w:tc>
          <w:tcPr>
            <w:tcW w:w="2693" w:type="dxa"/>
            <w:vAlign w:val="center"/>
          </w:tcPr>
          <w:p>
            <w:pPr>
              <w:widowControl/>
              <w:jc w:val="center"/>
              <w:rPr>
                <w:rFonts w:hint="eastAsia" w:asciiTheme="minorEastAsia" w:hAnsiTheme="minorEastAsia" w:eastAsiaTheme="minorEastAsia" w:cstheme="minorEastAsia"/>
                <w:color w:val="000000"/>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3.2</w:t>
            </w:r>
          </w:p>
        </w:tc>
        <w:tc>
          <w:tcPr>
            <w:tcW w:w="3686" w:type="dxa"/>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装货及运输</w:t>
            </w:r>
          </w:p>
        </w:tc>
        <w:tc>
          <w:tcPr>
            <w:tcW w:w="850" w:type="dxa"/>
            <w:vAlign w:val="center"/>
          </w:tcPr>
          <w:p>
            <w:pPr>
              <w:widowControl/>
              <w:jc w:val="center"/>
              <w:rPr>
                <w:rFonts w:hint="eastAsia" w:asciiTheme="minorEastAsia" w:hAnsiTheme="minorEastAsia" w:eastAsiaTheme="minorEastAsia" w:cstheme="minorEastAsia"/>
                <w:color w:val="000000"/>
                <w:kern w:val="0"/>
                <w:szCs w:val="21"/>
              </w:rPr>
            </w:pPr>
          </w:p>
        </w:tc>
        <w:tc>
          <w:tcPr>
            <w:tcW w:w="851"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w:t>
            </w:r>
          </w:p>
        </w:tc>
        <w:tc>
          <w:tcPr>
            <w:tcW w:w="2693" w:type="dxa"/>
            <w:vAlign w:val="center"/>
          </w:tcPr>
          <w:p>
            <w:pPr>
              <w:widowControl/>
              <w:jc w:val="center"/>
              <w:rPr>
                <w:rFonts w:hint="eastAsia" w:asciiTheme="minorEastAsia" w:hAnsiTheme="minorEastAsia" w:eastAsiaTheme="minorEastAsia" w:cstheme="minorEastAsia"/>
                <w:color w:val="000000"/>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3.3</w:t>
            </w:r>
          </w:p>
        </w:tc>
        <w:tc>
          <w:tcPr>
            <w:tcW w:w="3686" w:type="dxa"/>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运输保险</w:t>
            </w:r>
          </w:p>
        </w:tc>
        <w:tc>
          <w:tcPr>
            <w:tcW w:w="850" w:type="dxa"/>
            <w:vAlign w:val="center"/>
          </w:tcPr>
          <w:p>
            <w:pPr>
              <w:widowControl/>
              <w:jc w:val="center"/>
              <w:rPr>
                <w:rFonts w:hint="eastAsia" w:asciiTheme="minorEastAsia" w:hAnsiTheme="minorEastAsia" w:eastAsiaTheme="minorEastAsia" w:cstheme="minorEastAsia"/>
                <w:color w:val="000000"/>
                <w:kern w:val="0"/>
                <w:szCs w:val="21"/>
              </w:rPr>
            </w:pPr>
          </w:p>
        </w:tc>
        <w:tc>
          <w:tcPr>
            <w:tcW w:w="851"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w:t>
            </w:r>
          </w:p>
        </w:tc>
        <w:tc>
          <w:tcPr>
            <w:tcW w:w="2693" w:type="dxa"/>
            <w:vAlign w:val="center"/>
          </w:tcPr>
          <w:p>
            <w:pPr>
              <w:widowControl/>
              <w:jc w:val="center"/>
              <w:rPr>
                <w:rFonts w:hint="eastAsia" w:asciiTheme="minorEastAsia" w:hAnsiTheme="minorEastAsia" w:eastAsiaTheme="minorEastAsia" w:cstheme="minorEastAsia"/>
                <w:color w:val="000000"/>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3.4</w:t>
            </w:r>
          </w:p>
        </w:tc>
        <w:tc>
          <w:tcPr>
            <w:tcW w:w="3686" w:type="dxa"/>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到达现场的卸车及搬运</w:t>
            </w:r>
          </w:p>
        </w:tc>
        <w:tc>
          <w:tcPr>
            <w:tcW w:w="850" w:type="dxa"/>
            <w:vAlign w:val="center"/>
          </w:tcPr>
          <w:p>
            <w:pPr>
              <w:widowControl/>
              <w:jc w:val="center"/>
              <w:rPr>
                <w:rFonts w:hint="eastAsia" w:asciiTheme="minorEastAsia" w:hAnsiTheme="minorEastAsia" w:eastAsiaTheme="minorEastAsia" w:cstheme="minorEastAsia"/>
                <w:color w:val="000000"/>
                <w:kern w:val="0"/>
                <w:szCs w:val="21"/>
              </w:rPr>
            </w:pPr>
          </w:p>
        </w:tc>
        <w:tc>
          <w:tcPr>
            <w:tcW w:w="851"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w:t>
            </w:r>
          </w:p>
        </w:tc>
        <w:tc>
          <w:tcPr>
            <w:tcW w:w="2693"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甲方</w:t>
            </w:r>
            <w:r>
              <w:rPr>
                <w:rFonts w:asciiTheme="minorEastAsia" w:hAnsiTheme="minorEastAsia" w:eastAsiaTheme="minorEastAsia" w:cstheme="minorEastAsia"/>
                <w:color w:val="000000"/>
                <w:kern w:val="0"/>
                <w:szCs w:val="21"/>
              </w:rPr>
              <w:t>协助</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3.5</w:t>
            </w:r>
          </w:p>
        </w:tc>
        <w:tc>
          <w:tcPr>
            <w:tcW w:w="3686" w:type="dxa"/>
            <w:vAlign w:val="center"/>
          </w:tcPr>
          <w:p>
            <w:pPr>
              <w:widowControl/>
              <w:jc w:val="left"/>
              <w:rPr>
                <w:rFonts w:hint="eastAsia" w:asciiTheme="minorEastAsia" w:hAnsiTheme="minorEastAsia" w:eastAsiaTheme="minorEastAsia" w:cstheme="minorEastAsia"/>
                <w:color w:val="000000"/>
                <w:kern w:val="0"/>
                <w:szCs w:val="21"/>
              </w:rPr>
            </w:pPr>
            <w:r>
              <w:rPr>
                <w:rFonts w:hint="eastAsia" w:ascii="宋体" w:hAnsi="宋体"/>
                <w:szCs w:val="21"/>
              </w:rPr>
              <w:t>二次吊装就位</w:t>
            </w:r>
          </w:p>
        </w:tc>
        <w:tc>
          <w:tcPr>
            <w:tcW w:w="850" w:type="dxa"/>
            <w:vAlign w:val="center"/>
          </w:tcPr>
          <w:p>
            <w:pPr>
              <w:widowControl/>
              <w:jc w:val="center"/>
              <w:rPr>
                <w:rFonts w:hint="eastAsia" w:asciiTheme="minorEastAsia" w:hAnsiTheme="minorEastAsia" w:eastAsiaTheme="minorEastAsia" w:cstheme="minorEastAsia"/>
                <w:color w:val="000000"/>
                <w:kern w:val="0"/>
                <w:szCs w:val="21"/>
              </w:rPr>
            </w:pPr>
          </w:p>
        </w:tc>
        <w:tc>
          <w:tcPr>
            <w:tcW w:w="851"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w:t>
            </w:r>
          </w:p>
        </w:tc>
        <w:tc>
          <w:tcPr>
            <w:tcW w:w="2693"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甲方</w:t>
            </w:r>
            <w:r>
              <w:rPr>
                <w:rFonts w:asciiTheme="minorEastAsia" w:hAnsiTheme="minorEastAsia" w:eastAsiaTheme="minorEastAsia" w:cstheme="minorEastAsia"/>
                <w:color w:val="000000"/>
                <w:kern w:val="0"/>
                <w:szCs w:val="21"/>
              </w:rPr>
              <w:t>协助</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3.</w:t>
            </w:r>
            <w:r>
              <w:rPr>
                <w:rFonts w:asciiTheme="minorEastAsia" w:hAnsiTheme="minorEastAsia" w:eastAsiaTheme="minorEastAsia" w:cstheme="minorEastAsia"/>
                <w:color w:val="000000"/>
                <w:kern w:val="0"/>
                <w:szCs w:val="21"/>
              </w:rPr>
              <w:t>6</w:t>
            </w:r>
          </w:p>
        </w:tc>
        <w:tc>
          <w:tcPr>
            <w:tcW w:w="3686" w:type="dxa"/>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运输磕碰损坏修复</w:t>
            </w:r>
          </w:p>
        </w:tc>
        <w:tc>
          <w:tcPr>
            <w:tcW w:w="850" w:type="dxa"/>
            <w:vAlign w:val="center"/>
          </w:tcPr>
          <w:p>
            <w:pPr>
              <w:widowControl/>
              <w:jc w:val="center"/>
              <w:rPr>
                <w:rFonts w:hint="eastAsia" w:asciiTheme="minorEastAsia" w:hAnsiTheme="minorEastAsia" w:eastAsiaTheme="minorEastAsia" w:cstheme="minorEastAsia"/>
                <w:color w:val="000000"/>
                <w:kern w:val="0"/>
                <w:szCs w:val="21"/>
              </w:rPr>
            </w:pPr>
          </w:p>
        </w:tc>
        <w:tc>
          <w:tcPr>
            <w:tcW w:w="851"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w:t>
            </w:r>
          </w:p>
        </w:tc>
        <w:tc>
          <w:tcPr>
            <w:tcW w:w="2693" w:type="dxa"/>
            <w:vAlign w:val="center"/>
          </w:tcPr>
          <w:p>
            <w:pPr>
              <w:widowControl/>
              <w:jc w:val="center"/>
              <w:rPr>
                <w:rFonts w:hint="eastAsia" w:asciiTheme="minorEastAsia" w:hAnsiTheme="minorEastAsia" w:eastAsiaTheme="minorEastAsia" w:cstheme="minorEastAsia"/>
                <w:color w:val="000000"/>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4</w:t>
            </w:r>
          </w:p>
        </w:tc>
        <w:tc>
          <w:tcPr>
            <w:tcW w:w="8080" w:type="dxa"/>
            <w:gridSpan w:val="4"/>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安装调试</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4.1</w:t>
            </w:r>
          </w:p>
        </w:tc>
        <w:tc>
          <w:tcPr>
            <w:tcW w:w="3686" w:type="dxa"/>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安装</w:t>
            </w:r>
          </w:p>
        </w:tc>
        <w:tc>
          <w:tcPr>
            <w:tcW w:w="850" w:type="dxa"/>
            <w:vAlign w:val="center"/>
          </w:tcPr>
          <w:p>
            <w:pPr>
              <w:widowControl/>
              <w:jc w:val="center"/>
              <w:rPr>
                <w:rFonts w:hint="eastAsia" w:asciiTheme="minorEastAsia" w:hAnsiTheme="minorEastAsia" w:eastAsiaTheme="minorEastAsia" w:cstheme="minorEastAsia"/>
                <w:color w:val="000000"/>
                <w:kern w:val="0"/>
                <w:szCs w:val="21"/>
              </w:rPr>
            </w:pPr>
          </w:p>
        </w:tc>
        <w:tc>
          <w:tcPr>
            <w:tcW w:w="851"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w:t>
            </w:r>
          </w:p>
        </w:tc>
        <w:tc>
          <w:tcPr>
            <w:tcW w:w="2693" w:type="dxa"/>
            <w:vAlign w:val="center"/>
          </w:tcPr>
          <w:p>
            <w:pPr>
              <w:widowControl/>
              <w:jc w:val="center"/>
              <w:rPr>
                <w:rFonts w:hint="eastAsia" w:asciiTheme="minorEastAsia" w:hAnsiTheme="minorEastAsia" w:eastAsiaTheme="minorEastAsia" w:cstheme="minorEastAsia"/>
                <w:color w:val="000000"/>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4.2</w:t>
            </w:r>
          </w:p>
        </w:tc>
        <w:tc>
          <w:tcPr>
            <w:tcW w:w="3686" w:type="dxa"/>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调试</w:t>
            </w:r>
          </w:p>
        </w:tc>
        <w:tc>
          <w:tcPr>
            <w:tcW w:w="850"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w:t>
            </w:r>
          </w:p>
        </w:tc>
        <w:tc>
          <w:tcPr>
            <w:tcW w:w="851"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w:t>
            </w:r>
          </w:p>
        </w:tc>
        <w:tc>
          <w:tcPr>
            <w:tcW w:w="2693"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乙方来人指导</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4.3</w:t>
            </w:r>
          </w:p>
        </w:tc>
        <w:tc>
          <w:tcPr>
            <w:tcW w:w="3686" w:type="dxa"/>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试生产</w:t>
            </w:r>
          </w:p>
        </w:tc>
        <w:tc>
          <w:tcPr>
            <w:tcW w:w="850"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w:t>
            </w:r>
          </w:p>
        </w:tc>
        <w:tc>
          <w:tcPr>
            <w:tcW w:w="851"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w:t>
            </w:r>
          </w:p>
        </w:tc>
        <w:tc>
          <w:tcPr>
            <w:tcW w:w="2693"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乙方指导协助</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5</w:t>
            </w:r>
          </w:p>
        </w:tc>
        <w:tc>
          <w:tcPr>
            <w:tcW w:w="8080" w:type="dxa"/>
            <w:gridSpan w:val="4"/>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调试整改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91"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5.1</w:t>
            </w:r>
          </w:p>
        </w:tc>
        <w:tc>
          <w:tcPr>
            <w:tcW w:w="3686" w:type="dxa"/>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设计生产质量问题整改（卡阻、异响、滴漏、刮碰、变形、断裂等）</w:t>
            </w:r>
          </w:p>
        </w:tc>
        <w:tc>
          <w:tcPr>
            <w:tcW w:w="850" w:type="dxa"/>
            <w:vAlign w:val="center"/>
          </w:tcPr>
          <w:p>
            <w:pPr>
              <w:widowControl/>
              <w:jc w:val="center"/>
              <w:rPr>
                <w:rFonts w:hint="eastAsia" w:asciiTheme="minorEastAsia" w:hAnsiTheme="minorEastAsia" w:eastAsiaTheme="minorEastAsia" w:cstheme="minorEastAsia"/>
                <w:color w:val="000000"/>
                <w:kern w:val="0"/>
                <w:szCs w:val="21"/>
              </w:rPr>
            </w:pPr>
          </w:p>
        </w:tc>
        <w:tc>
          <w:tcPr>
            <w:tcW w:w="851"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w:t>
            </w:r>
          </w:p>
        </w:tc>
        <w:tc>
          <w:tcPr>
            <w:tcW w:w="2693"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乙方来人负责整改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5.2</w:t>
            </w:r>
          </w:p>
        </w:tc>
        <w:tc>
          <w:tcPr>
            <w:tcW w:w="3686" w:type="dxa"/>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电机、减速器、轴承等质量问题</w:t>
            </w:r>
          </w:p>
        </w:tc>
        <w:tc>
          <w:tcPr>
            <w:tcW w:w="850" w:type="dxa"/>
            <w:vAlign w:val="center"/>
          </w:tcPr>
          <w:p>
            <w:pPr>
              <w:widowControl/>
              <w:jc w:val="center"/>
              <w:rPr>
                <w:rFonts w:hint="eastAsia" w:asciiTheme="minorEastAsia" w:hAnsiTheme="minorEastAsia" w:eastAsiaTheme="minorEastAsia" w:cstheme="minorEastAsia"/>
                <w:color w:val="000000"/>
                <w:kern w:val="0"/>
                <w:szCs w:val="21"/>
              </w:rPr>
            </w:pPr>
          </w:p>
        </w:tc>
        <w:tc>
          <w:tcPr>
            <w:tcW w:w="851"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w:t>
            </w:r>
          </w:p>
        </w:tc>
        <w:tc>
          <w:tcPr>
            <w:tcW w:w="2693"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乙方来人负责整改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5.3</w:t>
            </w:r>
          </w:p>
        </w:tc>
        <w:tc>
          <w:tcPr>
            <w:tcW w:w="3686" w:type="dxa"/>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设备配件、零件有质量问题</w:t>
            </w:r>
          </w:p>
        </w:tc>
        <w:tc>
          <w:tcPr>
            <w:tcW w:w="850" w:type="dxa"/>
            <w:vAlign w:val="center"/>
          </w:tcPr>
          <w:p>
            <w:pPr>
              <w:widowControl/>
              <w:jc w:val="center"/>
              <w:rPr>
                <w:rFonts w:hint="eastAsia" w:asciiTheme="minorEastAsia" w:hAnsiTheme="minorEastAsia" w:eastAsiaTheme="minorEastAsia" w:cstheme="minorEastAsia"/>
                <w:color w:val="000000"/>
                <w:kern w:val="0"/>
                <w:szCs w:val="21"/>
              </w:rPr>
            </w:pPr>
          </w:p>
        </w:tc>
        <w:tc>
          <w:tcPr>
            <w:tcW w:w="851"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w:t>
            </w:r>
          </w:p>
        </w:tc>
        <w:tc>
          <w:tcPr>
            <w:tcW w:w="2693"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乙方负责整改更换配件或换机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5.4</w:t>
            </w:r>
          </w:p>
        </w:tc>
        <w:tc>
          <w:tcPr>
            <w:tcW w:w="3686" w:type="dxa"/>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性能测试、验收</w:t>
            </w:r>
          </w:p>
        </w:tc>
        <w:tc>
          <w:tcPr>
            <w:tcW w:w="850"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w:t>
            </w:r>
          </w:p>
        </w:tc>
        <w:tc>
          <w:tcPr>
            <w:tcW w:w="851"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w:t>
            </w:r>
          </w:p>
        </w:tc>
        <w:tc>
          <w:tcPr>
            <w:tcW w:w="2693" w:type="dxa"/>
            <w:vAlign w:val="center"/>
          </w:tcPr>
          <w:p>
            <w:pPr>
              <w:widowControl/>
              <w:jc w:val="center"/>
              <w:rPr>
                <w:rFonts w:hint="eastAsia" w:asciiTheme="minorEastAsia" w:hAnsiTheme="minorEastAsia" w:eastAsiaTheme="minorEastAsia" w:cstheme="minorEastAsia"/>
                <w:color w:val="000000"/>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5.5</w:t>
            </w:r>
          </w:p>
        </w:tc>
        <w:tc>
          <w:tcPr>
            <w:tcW w:w="3686" w:type="dxa"/>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售后服务，保修期的保修</w:t>
            </w:r>
          </w:p>
        </w:tc>
        <w:tc>
          <w:tcPr>
            <w:tcW w:w="850" w:type="dxa"/>
            <w:vAlign w:val="center"/>
          </w:tcPr>
          <w:p>
            <w:pPr>
              <w:widowControl/>
              <w:jc w:val="center"/>
              <w:rPr>
                <w:rFonts w:hint="eastAsia" w:asciiTheme="minorEastAsia" w:hAnsiTheme="minorEastAsia" w:eastAsiaTheme="minorEastAsia" w:cstheme="minorEastAsia"/>
                <w:color w:val="000000"/>
                <w:kern w:val="0"/>
                <w:szCs w:val="21"/>
              </w:rPr>
            </w:pPr>
          </w:p>
        </w:tc>
        <w:tc>
          <w:tcPr>
            <w:tcW w:w="851"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w:t>
            </w:r>
          </w:p>
        </w:tc>
        <w:tc>
          <w:tcPr>
            <w:tcW w:w="2693" w:type="dxa"/>
            <w:vAlign w:val="center"/>
          </w:tcPr>
          <w:p>
            <w:pPr>
              <w:widowControl/>
              <w:jc w:val="center"/>
              <w:rPr>
                <w:rFonts w:hint="eastAsia" w:asciiTheme="minorEastAsia" w:hAnsiTheme="minorEastAsia" w:eastAsiaTheme="minorEastAsia" w:cstheme="minorEastAsia"/>
                <w:color w:val="000000"/>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6</w:t>
            </w:r>
          </w:p>
        </w:tc>
        <w:tc>
          <w:tcPr>
            <w:tcW w:w="8080" w:type="dxa"/>
            <w:gridSpan w:val="4"/>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资料</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6.1</w:t>
            </w:r>
          </w:p>
        </w:tc>
        <w:tc>
          <w:tcPr>
            <w:tcW w:w="3686" w:type="dxa"/>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操作使用维护说明书</w:t>
            </w:r>
          </w:p>
        </w:tc>
        <w:tc>
          <w:tcPr>
            <w:tcW w:w="850" w:type="dxa"/>
            <w:vAlign w:val="center"/>
          </w:tcPr>
          <w:p>
            <w:pPr>
              <w:spacing w:line="360" w:lineRule="auto"/>
              <w:jc w:val="center"/>
              <w:rPr>
                <w:rFonts w:hint="eastAsia" w:asciiTheme="minorEastAsia" w:hAnsiTheme="minorEastAsia" w:eastAsiaTheme="minorEastAsia" w:cstheme="minorEastAsia"/>
                <w:szCs w:val="21"/>
              </w:rPr>
            </w:pPr>
          </w:p>
        </w:tc>
        <w:tc>
          <w:tcPr>
            <w:tcW w:w="851" w:type="dxa"/>
            <w:vAlign w:val="center"/>
          </w:tcPr>
          <w:p>
            <w:pPr>
              <w:spacing w:line="360" w:lineRule="auto"/>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w:t>
            </w:r>
          </w:p>
        </w:tc>
        <w:tc>
          <w:tcPr>
            <w:tcW w:w="2693" w:type="dxa"/>
            <w:vAlign w:val="center"/>
          </w:tcPr>
          <w:p>
            <w:pPr>
              <w:spacing w:line="360" w:lineRule="auto"/>
              <w:rPr>
                <w:rFonts w:hint="eastAsia" w:asciiTheme="minorEastAsia" w:hAnsiTheme="minorEastAsia" w:eastAsiaTheme="minorEastAsia" w:cstheme="minorEastAsia"/>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6.2</w:t>
            </w:r>
          </w:p>
        </w:tc>
        <w:tc>
          <w:tcPr>
            <w:tcW w:w="3686" w:type="dxa"/>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易损件清单、易损件加工图</w:t>
            </w:r>
          </w:p>
        </w:tc>
        <w:tc>
          <w:tcPr>
            <w:tcW w:w="850" w:type="dxa"/>
            <w:vAlign w:val="center"/>
          </w:tcPr>
          <w:p>
            <w:pPr>
              <w:spacing w:line="360" w:lineRule="auto"/>
              <w:jc w:val="center"/>
              <w:rPr>
                <w:rFonts w:hint="eastAsia" w:asciiTheme="minorEastAsia" w:hAnsiTheme="minorEastAsia" w:eastAsiaTheme="minorEastAsia" w:cstheme="minorEastAsia"/>
                <w:szCs w:val="21"/>
              </w:rPr>
            </w:pPr>
          </w:p>
        </w:tc>
        <w:tc>
          <w:tcPr>
            <w:tcW w:w="851" w:type="dxa"/>
            <w:vAlign w:val="center"/>
          </w:tcPr>
          <w:p>
            <w:pPr>
              <w:spacing w:line="360" w:lineRule="auto"/>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w:t>
            </w:r>
          </w:p>
        </w:tc>
        <w:tc>
          <w:tcPr>
            <w:tcW w:w="2693" w:type="dxa"/>
            <w:vAlign w:val="center"/>
          </w:tcPr>
          <w:p>
            <w:pPr>
              <w:spacing w:line="360" w:lineRule="auto"/>
              <w:rPr>
                <w:rFonts w:hint="eastAsia" w:asciiTheme="minorEastAsia" w:hAnsiTheme="minorEastAsia" w:eastAsiaTheme="minorEastAsia" w:cstheme="minorEastAsia"/>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6.3</w:t>
            </w:r>
          </w:p>
        </w:tc>
        <w:tc>
          <w:tcPr>
            <w:tcW w:w="3686" w:type="dxa"/>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加工制造质检记录</w:t>
            </w:r>
          </w:p>
        </w:tc>
        <w:tc>
          <w:tcPr>
            <w:tcW w:w="850" w:type="dxa"/>
            <w:vAlign w:val="center"/>
          </w:tcPr>
          <w:p>
            <w:pPr>
              <w:spacing w:line="360" w:lineRule="auto"/>
              <w:jc w:val="center"/>
              <w:rPr>
                <w:rFonts w:hint="eastAsia" w:asciiTheme="minorEastAsia" w:hAnsiTheme="minorEastAsia" w:eastAsiaTheme="minorEastAsia" w:cstheme="minorEastAsia"/>
                <w:szCs w:val="21"/>
              </w:rPr>
            </w:pPr>
          </w:p>
        </w:tc>
        <w:tc>
          <w:tcPr>
            <w:tcW w:w="851" w:type="dxa"/>
            <w:vAlign w:val="center"/>
          </w:tcPr>
          <w:p>
            <w:pPr>
              <w:spacing w:line="360" w:lineRule="auto"/>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w:t>
            </w:r>
          </w:p>
        </w:tc>
        <w:tc>
          <w:tcPr>
            <w:tcW w:w="2693"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含材料检测、设备性能测试</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6.4</w:t>
            </w:r>
          </w:p>
        </w:tc>
        <w:tc>
          <w:tcPr>
            <w:tcW w:w="3686" w:type="dxa"/>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技术资料(生产图、清单、设备模型)</w:t>
            </w:r>
          </w:p>
        </w:tc>
        <w:tc>
          <w:tcPr>
            <w:tcW w:w="850" w:type="dxa"/>
            <w:vAlign w:val="center"/>
          </w:tcPr>
          <w:p>
            <w:pPr>
              <w:spacing w:line="360" w:lineRule="auto"/>
              <w:jc w:val="center"/>
              <w:rPr>
                <w:rFonts w:hint="eastAsia" w:asciiTheme="minorEastAsia" w:hAnsiTheme="minorEastAsia" w:eastAsiaTheme="minorEastAsia" w:cstheme="minorEastAsia"/>
                <w:szCs w:val="21"/>
              </w:rPr>
            </w:pPr>
          </w:p>
        </w:tc>
        <w:tc>
          <w:tcPr>
            <w:tcW w:w="851" w:type="dxa"/>
            <w:vAlign w:val="center"/>
          </w:tcPr>
          <w:p>
            <w:pPr>
              <w:spacing w:line="360" w:lineRule="auto"/>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w:t>
            </w:r>
          </w:p>
        </w:tc>
        <w:tc>
          <w:tcPr>
            <w:tcW w:w="2693"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纸质版和电子版</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tcPr>
          <w:p>
            <w:pPr>
              <w:spacing w:line="360" w:lineRule="exact"/>
              <w:jc w:val="center"/>
              <w:rPr>
                <w:rFonts w:hint="eastAsia" w:ascii="宋体" w:hAnsi="宋体"/>
                <w:szCs w:val="21"/>
              </w:rPr>
            </w:pPr>
            <w:r>
              <w:rPr>
                <w:rFonts w:hint="eastAsia" w:ascii="宋体" w:hAnsi="宋体"/>
                <w:szCs w:val="21"/>
              </w:rPr>
              <w:t>7</w:t>
            </w:r>
          </w:p>
        </w:tc>
        <w:tc>
          <w:tcPr>
            <w:tcW w:w="8080" w:type="dxa"/>
            <w:gridSpan w:val="4"/>
          </w:tcPr>
          <w:p>
            <w:pPr>
              <w:spacing w:line="360" w:lineRule="exact"/>
              <w:jc w:val="center"/>
              <w:rPr>
                <w:rFonts w:hint="eastAsia" w:ascii="宋体" w:hAnsi="宋体"/>
                <w:szCs w:val="21"/>
              </w:rPr>
            </w:pPr>
            <w:r>
              <w:rPr>
                <w:rFonts w:hint="eastAsia" w:ascii="宋体" w:hAnsi="宋体"/>
                <w:szCs w:val="21"/>
              </w:rPr>
              <w:t>电气</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tcPr>
          <w:p>
            <w:pPr>
              <w:spacing w:line="360" w:lineRule="exact"/>
              <w:jc w:val="center"/>
              <w:rPr>
                <w:rFonts w:hint="eastAsia" w:ascii="宋体" w:hAnsi="宋体"/>
                <w:szCs w:val="21"/>
              </w:rPr>
            </w:pPr>
            <w:r>
              <w:rPr>
                <w:rFonts w:hint="eastAsia" w:ascii="宋体" w:hAnsi="宋体"/>
                <w:szCs w:val="21"/>
              </w:rPr>
              <w:t>7.1</w:t>
            </w:r>
          </w:p>
        </w:tc>
        <w:tc>
          <w:tcPr>
            <w:tcW w:w="3686" w:type="dxa"/>
          </w:tcPr>
          <w:p>
            <w:pPr>
              <w:spacing w:line="360" w:lineRule="exact"/>
              <w:jc w:val="left"/>
              <w:rPr>
                <w:rFonts w:hint="eastAsia" w:ascii="宋体" w:hAnsi="宋体"/>
                <w:szCs w:val="21"/>
              </w:rPr>
            </w:pPr>
            <w:r>
              <w:rPr>
                <w:rFonts w:hint="eastAsia" w:ascii="宋体" w:hAnsi="宋体"/>
                <w:szCs w:val="21"/>
              </w:rPr>
              <w:t>电源线</w:t>
            </w:r>
            <w:r>
              <w:rPr>
                <w:rFonts w:ascii="宋体" w:hAnsi="宋体"/>
                <w:szCs w:val="21"/>
              </w:rPr>
              <w:t>接入</w:t>
            </w:r>
            <w:r>
              <w:rPr>
                <w:rFonts w:hint="eastAsia" w:ascii="宋体" w:hAnsi="宋体"/>
                <w:szCs w:val="21"/>
              </w:rPr>
              <w:t>电源</w:t>
            </w:r>
            <w:r>
              <w:rPr>
                <w:rFonts w:ascii="宋体" w:hAnsi="宋体"/>
                <w:szCs w:val="21"/>
              </w:rPr>
              <w:t>柜端口</w:t>
            </w:r>
          </w:p>
        </w:tc>
        <w:tc>
          <w:tcPr>
            <w:tcW w:w="850" w:type="dxa"/>
            <w:vAlign w:val="center"/>
          </w:tcPr>
          <w:p>
            <w:pPr>
              <w:spacing w:line="360" w:lineRule="exact"/>
              <w:jc w:val="center"/>
              <w:rPr>
                <w:rFonts w:hint="eastAsia" w:ascii="宋体" w:hAnsi="宋体"/>
                <w:szCs w:val="21"/>
              </w:rPr>
            </w:pPr>
            <w:r>
              <w:rPr>
                <w:rFonts w:hint="eastAsia" w:ascii="宋体" w:hAnsi="宋体"/>
                <w:szCs w:val="21"/>
              </w:rPr>
              <w:t>√</w:t>
            </w:r>
          </w:p>
        </w:tc>
        <w:tc>
          <w:tcPr>
            <w:tcW w:w="851" w:type="dxa"/>
            <w:vAlign w:val="center"/>
          </w:tcPr>
          <w:p>
            <w:pPr>
              <w:spacing w:line="360" w:lineRule="exact"/>
              <w:jc w:val="center"/>
              <w:rPr>
                <w:rFonts w:hint="eastAsia" w:ascii="宋体" w:hAnsi="宋体"/>
                <w:szCs w:val="21"/>
              </w:rPr>
            </w:pPr>
          </w:p>
        </w:tc>
        <w:tc>
          <w:tcPr>
            <w:tcW w:w="2693" w:type="dxa"/>
          </w:tcPr>
          <w:p>
            <w:pPr>
              <w:spacing w:line="360" w:lineRule="exact"/>
              <w:rPr>
                <w:rFonts w:hint="eastAsia" w:ascii="宋体" w:hAnsi="宋体"/>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29" w:hRule="exact"/>
          <w:jc w:val="center"/>
        </w:trPr>
        <w:tc>
          <w:tcPr>
            <w:tcW w:w="699" w:type="dxa"/>
          </w:tcPr>
          <w:p>
            <w:pPr>
              <w:spacing w:line="360" w:lineRule="exact"/>
              <w:jc w:val="center"/>
              <w:rPr>
                <w:rFonts w:hint="eastAsia" w:ascii="宋体" w:hAnsi="宋体"/>
                <w:szCs w:val="21"/>
              </w:rPr>
            </w:pPr>
            <w:r>
              <w:rPr>
                <w:rFonts w:hint="eastAsia" w:ascii="宋体" w:hAnsi="宋体"/>
                <w:szCs w:val="21"/>
              </w:rPr>
              <w:t>7.2</w:t>
            </w:r>
          </w:p>
        </w:tc>
        <w:tc>
          <w:tcPr>
            <w:tcW w:w="3686" w:type="dxa"/>
          </w:tcPr>
          <w:p>
            <w:pPr>
              <w:spacing w:line="360" w:lineRule="exact"/>
              <w:jc w:val="left"/>
              <w:rPr>
                <w:rFonts w:hint="eastAsia" w:ascii="宋体" w:hAnsi="宋体"/>
                <w:szCs w:val="21"/>
              </w:rPr>
            </w:pPr>
            <w:r>
              <w:rPr>
                <w:rFonts w:hint="eastAsia" w:ascii="宋体" w:hAnsi="宋体"/>
                <w:szCs w:val="21"/>
              </w:rPr>
              <w:t>电</w:t>
            </w:r>
            <w:r>
              <w:rPr>
                <w:rFonts w:ascii="宋体" w:hAnsi="宋体"/>
                <w:szCs w:val="21"/>
              </w:rPr>
              <w:t>柜到设备之间的所有电缆、线管</w:t>
            </w:r>
            <w:r>
              <w:rPr>
                <w:rFonts w:hint="eastAsia" w:ascii="宋体" w:hAnsi="宋体"/>
                <w:szCs w:val="21"/>
              </w:rPr>
              <w:t>、桥架</w:t>
            </w:r>
          </w:p>
        </w:tc>
        <w:tc>
          <w:tcPr>
            <w:tcW w:w="850" w:type="dxa"/>
            <w:vAlign w:val="center"/>
          </w:tcPr>
          <w:p>
            <w:pPr>
              <w:spacing w:line="360" w:lineRule="exact"/>
              <w:jc w:val="center"/>
              <w:rPr>
                <w:rFonts w:hint="eastAsia" w:ascii="宋体" w:hAnsi="宋体"/>
                <w:szCs w:val="21"/>
              </w:rPr>
            </w:pPr>
            <w:r>
              <w:rPr>
                <w:rFonts w:hint="eastAsia" w:ascii="宋体" w:hAnsi="宋体"/>
                <w:szCs w:val="21"/>
              </w:rPr>
              <w:t>√</w:t>
            </w:r>
          </w:p>
        </w:tc>
        <w:tc>
          <w:tcPr>
            <w:tcW w:w="851" w:type="dxa"/>
            <w:vAlign w:val="center"/>
          </w:tcPr>
          <w:p>
            <w:pPr>
              <w:spacing w:line="360" w:lineRule="exact"/>
              <w:jc w:val="center"/>
              <w:rPr>
                <w:rFonts w:hint="eastAsia" w:ascii="宋体" w:hAnsi="宋体"/>
                <w:szCs w:val="21"/>
              </w:rPr>
            </w:pPr>
          </w:p>
        </w:tc>
        <w:tc>
          <w:tcPr>
            <w:tcW w:w="2693" w:type="dxa"/>
          </w:tcPr>
          <w:p>
            <w:pPr>
              <w:spacing w:line="360" w:lineRule="exact"/>
              <w:rPr>
                <w:rFonts w:hint="eastAsia" w:ascii="宋体" w:hAnsi="宋体"/>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tcPr>
          <w:p>
            <w:pPr>
              <w:spacing w:line="360" w:lineRule="exact"/>
              <w:jc w:val="center"/>
              <w:rPr>
                <w:rFonts w:hint="eastAsia" w:ascii="宋体" w:hAnsi="宋体"/>
                <w:szCs w:val="21"/>
              </w:rPr>
            </w:pPr>
            <w:r>
              <w:rPr>
                <w:rFonts w:hint="eastAsia" w:ascii="宋体" w:hAnsi="宋体"/>
                <w:szCs w:val="21"/>
              </w:rPr>
              <w:t>7.3</w:t>
            </w:r>
          </w:p>
        </w:tc>
        <w:tc>
          <w:tcPr>
            <w:tcW w:w="3686" w:type="dxa"/>
          </w:tcPr>
          <w:p>
            <w:pPr>
              <w:spacing w:line="360" w:lineRule="exact"/>
              <w:jc w:val="left"/>
              <w:rPr>
                <w:rFonts w:hint="eastAsia" w:ascii="宋体" w:hAnsi="宋体"/>
                <w:szCs w:val="21"/>
              </w:rPr>
            </w:pPr>
            <w:r>
              <w:rPr>
                <w:rFonts w:hint="eastAsia" w:ascii="宋体" w:hAnsi="宋体"/>
                <w:szCs w:val="21"/>
              </w:rPr>
              <w:t>提供详细电气系统清单</w:t>
            </w:r>
          </w:p>
        </w:tc>
        <w:tc>
          <w:tcPr>
            <w:tcW w:w="850" w:type="dxa"/>
            <w:vAlign w:val="center"/>
          </w:tcPr>
          <w:p>
            <w:pPr>
              <w:spacing w:line="360" w:lineRule="exact"/>
              <w:jc w:val="center"/>
              <w:rPr>
                <w:rFonts w:hint="eastAsia" w:ascii="宋体" w:hAnsi="宋体"/>
                <w:szCs w:val="21"/>
              </w:rPr>
            </w:pPr>
          </w:p>
        </w:tc>
        <w:tc>
          <w:tcPr>
            <w:tcW w:w="851" w:type="dxa"/>
            <w:vAlign w:val="center"/>
          </w:tcPr>
          <w:p>
            <w:pPr>
              <w:spacing w:line="360" w:lineRule="exact"/>
              <w:jc w:val="center"/>
              <w:rPr>
                <w:rFonts w:hint="eastAsia" w:ascii="宋体" w:hAnsi="宋体"/>
                <w:szCs w:val="21"/>
              </w:rPr>
            </w:pPr>
            <w:r>
              <w:rPr>
                <w:rFonts w:hint="eastAsia" w:ascii="宋体" w:hAnsi="宋体"/>
                <w:szCs w:val="21"/>
              </w:rPr>
              <w:t>√</w:t>
            </w:r>
          </w:p>
        </w:tc>
        <w:tc>
          <w:tcPr>
            <w:tcW w:w="2693" w:type="dxa"/>
          </w:tcPr>
          <w:p>
            <w:pPr>
              <w:spacing w:line="360" w:lineRule="exact"/>
              <w:rPr>
                <w:rFonts w:hint="eastAsia" w:ascii="宋体" w:hAnsi="宋体"/>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tcPr>
          <w:p>
            <w:pPr>
              <w:spacing w:line="360" w:lineRule="exact"/>
              <w:jc w:val="center"/>
              <w:rPr>
                <w:rFonts w:hint="eastAsia" w:ascii="宋体" w:hAnsi="宋体"/>
                <w:szCs w:val="21"/>
              </w:rPr>
            </w:pPr>
            <w:r>
              <w:rPr>
                <w:rFonts w:hint="eastAsia" w:ascii="宋体" w:hAnsi="宋体"/>
                <w:szCs w:val="21"/>
              </w:rPr>
              <w:t>7.4</w:t>
            </w:r>
          </w:p>
        </w:tc>
        <w:tc>
          <w:tcPr>
            <w:tcW w:w="3686" w:type="dxa"/>
          </w:tcPr>
          <w:p>
            <w:pPr>
              <w:spacing w:line="360" w:lineRule="exact"/>
              <w:jc w:val="left"/>
              <w:rPr>
                <w:rFonts w:hint="eastAsia" w:ascii="宋体" w:hAnsi="宋体"/>
                <w:szCs w:val="21"/>
              </w:rPr>
            </w:pPr>
            <w:r>
              <w:rPr>
                <w:rFonts w:hint="eastAsia" w:ascii="宋体" w:hAnsi="宋体"/>
                <w:szCs w:val="21"/>
              </w:rPr>
              <w:t>所有控制柜及PLC柜，现场柜</w:t>
            </w:r>
          </w:p>
        </w:tc>
        <w:tc>
          <w:tcPr>
            <w:tcW w:w="850" w:type="dxa"/>
            <w:vAlign w:val="center"/>
          </w:tcPr>
          <w:p>
            <w:pPr>
              <w:spacing w:line="360" w:lineRule="exact"/>
              <w:jc w:val="center"/>
              <w:rPr>
                <w:rFonts w:hint="eastAsia" w:ascii="宋体" w:hAnsi="宋体"/>
                <w:szCs w:val="21"/>
              </w:rPr>
            </w:pPr>
          </w:p>
        </w:tc>
        <w:tc>
          <w:tcPr>
            <w:tcW w:w="851" w:type="dxa"/>
            <w:vAlign w:val="center"/>
          </w:tcPr>
          <w:p>
            <w:pPr>
              <w:spacing w:line="360" w:lineRule="exact"/>
              <w:jc w:val="center"/>
              <w:rPr>
                <w:rFonts w:hint="eastAsia" w:ascii="宋体" w:hAnsi="宋体"/>
                <w:szCs w:val="21"/>
              </w:rPr>
            </w:pPr>
            <w:r>
              <w:rPr>
                <w:rFonts w:hint="eastAsia" w:ascii="宋体" w:hAnsi="宋体"/>
                <w:szCs w:val="21"/>
              </w:rPr>
              <w:t>√</w:t>
            </w:r>
          </w:p>
        </w:tc>
        <w:tc>
          <w:tcPr>
            <w:tcW w:w="2693" w:type="dxa"/>
          </w:tcPr>
          <w:p>
            <w:pPr>
              <w:spacing w:line="360" w:lineRule="exact"/>
              <w:rPr>
                <w:rFonts w:hint="eastAsia" w:ascii="宋体" w:hAnsi="宋体"/>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tcPr>
          <w:p>
            <w:pPr>
              <w:spacing w:line="360" w:lineRule="exact"/>
              <w:jc w:val="center"/>
              <w:rPr>
                <w:rFonts w:hint="eastAsia" w:ascii="宋体" w:hAnsi="宋体"/>
                <w:szCs w:val="21"/>
              </w:rPr>
            </w:pPr>
            <w:r>
              <w:rPr>
                <w:rFonts w:hint="eastAsia" w:ascii="宋体" w:hAnsi="宋体"/>
                <w:szCs w:val="21"/>
              </w:rPr>
              <w:t>7.5</w:t>
            </w:r>
          </w:p>
        </w:tc>
        <w:tc>
          <w:tcPr>
            <w:tcW w:w="3686" w:type="dxa"/>
          </w:tcPr>
          <w:p>
            <w:pPr>
              <w:spacing w:line="360" w:lineRule="exact"/>
              <w:jc w:val="left"/>
              <w:rPr>
                <w:rFonts w:hint="eastAsia" w:ascii="宋体" w:hAnsi="宋体"/>
                <w:szCs w:val="21"/>
              </w:rPr>
            </w:pPr>
            <w:r>
              <w:rPr>
                <w:rFonts w:hint="eastAsia" w:ascii="宋体" w:hAnsi="宋体"/>
                <w:szCs w:val="21"/>
              </w:rPr>
              <w:t>电气安装</w:t>
            </w:r>
          </w:p>
        </w:tc>
        <w:tc>
          <w:tcPr>
            <w:tcW w:w="850" w:type="dxa"/>
            <w:vAlign w:val="center"/>
          </w:tcPr>
          <w:p>
            <w:pPr>
              <w:spacing w:line="360" w:lineRule="exact"/>
              <w:jc w:val="center"/>
              <w:rPr>
                <w:rFonts w:hint="eastAsia" w:ascii="宋体" w:hAnsi="宋体"/>
                <w:szCs w:val="21"/>
              </w:rPr>
            </w:pPr>
            <w:r>
              <w:rPr>
                <w:rFonts w:hint="eastAsia" w:ascii="宋体" w:hAnsi="宋体"/>
                <w:szCs w:val="21"/>
              </w:rPr>
              <w:t>√</w:t>
            </w:r>
          </w:p>
        </w:tc>
        <w:tc>
          <w:tcPr>
            <w:tcW w:w="851" w:type="dxa"/>
            <w:vAlign w:val="center"/>
          </w:tcPr>
          <w:p>
            <w:pPr>
              <w:spacing w:line="360" w:lineRule="exact"/>
              <w:jc w:val="center"/>
              <w:rPr>
                <w:rFonts w:hint="eastAsia" w:ascii="宋体" w:hAnsi="宋体"/>
                <w:szCs w:val="21"/>
              </w:rPr>
            </w:pPr>
            <w:r>
              <w:rPr>
                <w:rFonts w:hint="eastAsia" w:ascii="宋体" w:hAnsi="宋体"/>
                <w:szCs w:val="21"/>
              </w:rPr>
              <w:t>√</w:t>
            </w:r>
          </w:p>
        </w:tc>
        <w:tc>
          <w:tcPr>
            <w:tcW w:w="2693" w:type="dxa"/>
          </w:tcPr>
          <w:p>
            <w:pPr>
              <w:spacing w:line="360" w:lineRule="exact"/>
              <w:rPr>
                <w:rFonts w:hint="eastAsia" w:ascii="宋体" w:hAnsi="宋体"/>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tcPr>
          <w:p>
            <w:pPr>
              <w:spacing w:line="360" w:lineRule="exact"/>
              <w:jc w:val="center"/>
              <w:rPr>
                <w:rFonts w:hint="eastAsia" w:ascii="宋体" w:hAnsi="宋体"/>
                <w:szCs w:val="21"/>
              </w:rPr>
            </w:pPr>
            <w:r>
              <w:rPr>
                <w:rFonts w:hint="eastAsia" w:ascii="宋体" w:hAnsi="宋体"/>
                <w:szCs w:val="21"/>
              </w:rPr>
              <w:t>8</w:t>
            </w:r>
          </w:p>
        </w:tc>
        <w:tc>
          <w:tcPr>
            <w:tcW w:w="8080" w:type="dxa"/>
            <w:gridSpan w:val="4"/>
          </w:tcPr>
          <w:p>
            <w:pPr>
              <w:spacing w:line="360" w:lineRule="exact"/>
              <w:ind w:left="420" w:leftChars="200"/>
              <w:jc w:val="center"/>
              <w:rPr>
                <w:rFonts w:hint="eastAsia" w:ascii="宋体" w:hAnsi="宋体"/>
                <w:szCs w:val="21"/>
              </w:rPr>
            </w:pPr>
            <w:r>
              <w:rPr>
                <w:rFonts w:hint="eastAsia" w:ascii="宋体" w:hAnsi="宋体"/>
                <w:szCs w:val="21"/>
              </w:rPr>
              <w:t>自动化</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tcPr>
          <w:p>
            <w:pPr>
              <w:spacing w:line="360" w:lineRule="exact"/>
              <w:jc w:val="center"/>
              <w:rPr>
                <w:rFonts w:hint="eastAsia" w:ascii="宋体" w:hAnsi="宋体"/>
                <w:szCs w:val="21"/>
              </w:rPr>
            </w:pPr>
            <w:r>
              <w:rPr>
                <w:rFonts w:hint="eastAsia" w:ascii="宋体" w:hAnsi="宋体"/>
                <w:szCs w:val="21"/>
              </w:rPr>
              <w:t>8.1</w:t>
            </w:r>
          </w:p>
        </w:tc>
        <w:tc>
          <w:tcPr>
            <w:tcW w:w="3686" w:type="dxa"/>
          </w:tcPr>
          <w:p>
            <w:pPr>
              <w:spacing w:line="360" w:lineRule="exact"/>
              <w:jc w:val="left"/>
              <w:rPr>
                <w:rFonts w:hint="eastAsia" w:ascii="宋体" w:hAnsi="宋体"/>
                <w:szCs w:val="21"/>
              </w:rPr>
            </w:pPr>
            <w:r>
              <w:rPr>
                <w:rFonts w:hint="eastAsia" w:ascii="宋体" w:hAnsi="宋体"/>
                <w:szCs w:val="21"/>
              </w:rPr>
              <w:t>包含全部控制点的PLC控制逻辑图</w:t>
            </w:r>
          </w:p>
        </w:tc>
        <w:tc>
          <w:tcPr>
            <w:tcW w:w="850" w:type="dxa"/>
            <w:vAlign w:val="center"/>
          </w:tcPr>
          <w:p>
            <w:pPr>
              <w:spacing w:line="360" w:lineRule="exact"/>
              <w:jc w:val="center"/>
              <w:rPr>
                <w:rFonts w:hint="eastAsia" w:ascii="宋体" w:hAnsi="宋体"/>
                <w:szCs w:val="21"/>
              </w:rPr>
            </w:pPr>
          </w:p>
        </w:tc>
        <w:tc>
          <w:tcPr>
            <w:tcW w:w="851" w:type="dxa"/>
            <w:vAlign w:val="center"/>
          </w:tcPr>
          <w:p>
            <w:pPr>
              <w:spacing w:line="360" w:lineRule="exact"/>
              <w:jc w:val="center"/>
              <w:rPr>
                <w:rFonts w:hint="eastAsia" w:ascii="宋体" w:hAnsi="宋体"/>
                <w:szCs w:val="21"/>
              </w:rPr>
            </w:pPr>
            <w:r>
              <w:rPr>
                <w:rFonts w:hint="eastAsia" w:ascii="宋体" w:hAnsi="宋体"/>
                <w:szCs w:val="21"/>
              </w:rPr>
              <w:t>√</w:t>
            </w:r>
          </w:p>
        </w:tc>
        <w:tc>
          <w:tcPr>
            <w:tcW w:w="2693" w:type="dxa"/>
            <w:vMerge w:val="restart"/>
          </w:tcPr>
          <w:p>
            <w:pPr>
              <w:spacing w:line="360" w:lineRule="exact"/>
              <w:rPr>
                <w:rFonts w:hint="eastAsia" w:ascii="宋体" w:hAnsi="宋体"/>
                <w:szCs w:val="21"/>
              </w:rPr>
            </w:pPr>
            <w:r>
              <w:rPr>
                <w:rFonts w:hint="eastAsia" w:ascii="宋体" w:hAnsi="宋体"/>
                <w:szCs w:val="21"/>
              </w:rPr>
              <w:t>甲方将整个车间各系统的控制整体考虑，提供自控设计条件。</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18" w:hRule="exact"/>
          <w:jc w:val="center"/>
        </w:trPr>
        <w:tc>
          <w:tcPr>
            <w:tcW w:w="699" w:type="dxa"/>
          </w:tcPr>
          <w:p>
            <w:pPr>
              <w:spacing w:line="360" w:lineRule="exact"/>
              <w:jc w:val="center"/>
              <w:rPr>
                <w:rFonts w:hint="eastAsia" w:ascii="宋体" w:hAnsi="宋体"/>
                <w:szCs w:val="21"/>
              </w:rPr>
            </w:pPr>
            <w:r>
              <w:rPr>
                <w:rFonts w:hint="eastAsia" w:ascii="宋体" w:hAnsi="宋体"/>
                <w:szCs w:val="21"/>
              </w:rPr>
              <w:t>8.2</w:t>
            </w:r>
          </w:p>
        </w:tc>
        <w:tc>
          <w:tcPr>
            <w:tcW w:w="3686" w:type="dxa"/>
          </w:tcPr>
          <w:p>
            <w:pPr>
              <w:spacing w:line="360" w:lineRule="exact"/>
              <w:jc w:val="left"/>
              <w:rPr>
                <w:rFonts w:hint="eastAsia" w:ascii="宋体" w:hAnsi="宋体"/>
                <w:szCs w:val="21"/>
              </w:rPr>
            </w:pPr>
            <w:r>
              <w:rPr>
                <w:rFonts w:hint="eastAsia" w:ascii="宋体" w:hAnsi="宋体"/>
                <w:szCs w:val="21"/>
              </w:rPr>
              <w:t>自控设计说明</w:t>
            </w:r>
          </w:p>
        </w:tc>
        <w:tc>
          <w:tcPr>
            <w:tcW w:w="850" w:type="dxa"/>
            <w:vAlign w:val="center"/>
          </w:tcPr>
          <w:p>
            <w:pPr>
              <w:spacing w:line="360" w:lineRule="exact"/>
              <w:jc w:val="center"/>
              <w:rPr>
                <w:rFonts w:hint="eastAsia" w:ascii="宋体" w:hAnsi="宋体"/>
                <w:szCs w:val="21"/>
              </w:rPr>
            </w:pPr>
          </w:p>
        </w:tc>
        <w:tc>
          <w:tcPr>
            <w:tcW w:w="851" w:type="dxa"/>
            <w:vAlign w:val="center"/>
          </w:tcPr>
          <w:p>
            <w:pPr>
              <w:spacing w:line="360" w:lineRule="exact"/>
              <w:jc w:val="center"/>
              <w:rPr>
                <w:rFonts w:hint="eastAsia" w:ascii="宋体" w:hAnsi="宋体"/>
                <w:szCs w:val="21"/>
              </w:rPr>
            </w:pPr>
            <w:r>
              <w:rPr>
                <w:rFonts w:hint="eastAsia" w:ascii="宋体" w:hAnsi="宋体"/>
                <w:szCs w:val="21"/>
              </w:rPr>
              <w:t>√</w:t>
            </w:r>
          </w:p>
        </w:tc>
        <w:tc>
          <w:tcPr>
            <w:tcW w:w="2693" w:type="dxa"/>
            <w:vMerge w:val="continue"/>
          </w:tcPr>
          <w:p>
            <w:pPr>
              <w:spacing w:line="360" w:lineRule="exact"/>
              <w:ind w:left="420" w:leftChars="200"/>
              <w:jc w:val="center"/>
              <w:rPr>
                <w:rFonts w:hint="eastAsia" w:ascii="宋体" w:hAnsi="宋体"/>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tcPr>
          <w:p>
            <w:pPr>
              <w:spacing w:line="360" w:lineRule="exact"/>
              <w:jc w:val="center"/>
              <w:rPr>
                <w:rFonts w:hint="eastAsia" w:ascii="宋体" w:hAnsi="宋体"/>
                <w:szCs w:val="21"/>
              </w:rPr>
            </w:pPr>
            <w:r>
              <w:rPr>
                <w:rFonts w:hint="eastAsia" w:ascii="宋体" w:hAnsi="宋体"/>
                <w:szCs w:val="21"/>
              </w:rPr>
              <w:t>8.3</w:t>
            </w:r>
          </w:p>
        </w:tc>
        <w:tc>
          <w:tcPr>
            <w:tcW w:w="3686" w:type="dxa"/>
          </w:tcPr>
          <w:p>
            <w:pPr>
              <w:spacing w:line="360" w:lineRule="exact"/>
              <w:jc w:val="left"/>
              <w:rPr>
                <w:rFonts w:hint="eastAsia" w:ascii="宋体" w:hAnsi="宋体"/>
                <w:szCs w:val="21"/>
              </w:rPr>
            </w:pPr>
            <w:r>
              <w:rPr>
                <w:rFonts w:hint="eastAsia" w:ascii="宋体" w:hAnsi="宋体"/>
                <w:szCs w:val="21"/>
              </w:rPr>
              <w:t>自控电缆槽、电缆桥架</w:t>
            </w:r>
          </w:p>
        </w:tc>
        <w:tc>
          <w:tcPr>
            <w:tcW w:w="850" w:type="dxa"/>
            <w:vAlign w:val="center"/>
          </w:tcPr>
          <w:p>
            <w:pPr>
              <w:spacing w:line="360" w:lineRule="exact"/>
              <w:jc w:val="center"/>
              <w:rPr>
                <w:rFonts w:hint="eastAsia" w:ascii="宋体" w:hAnsi="宋体"/>
                <w:szCs w:val="21"/>
              </w:rPr>
            </w:pPr>
            <w:r>
              <w:rPr>
                <w:rFonts w:hint="eastAsia" w:ascii="宋体" w:hAnsi="宋体"/>
                <w:szCs w:val="21"/>
              </w:rPr>
              <w:t>√</w:t>
            </w:r>
          </w:p>
        </w:tc>
        <w:tc>
          <w:tcPr>
            <w:tcW w:w="851" w:type="dxa"/>
            <w:vAlign w:val="center"/>
          </w:tcPr>
          <w:p>
            <w:pPr>
              <w:spacing w:line="360" w:lineRule="exact"/>
              <w:jc w:val="center"/>
              <w:rPr>
                <w:rFonts w:hint="eastAsia" w:ascii="宋体" w:hAnsi="宋体"/>
                <w:szCs w:val="21"/>
              </w:rPr>
            </w:pPr>
          </w:p>
        </w:tc>
        <w:tc>
          <w:tcPr>
            <w:tcW w:w="2693" w:type="dxa"/>
          </w:tcPr>
          <w:p>
            <w:pPr>
              <w:spacing w:line="360" w:lineRule="exact"/>
              <w:rPr>
                <w:rFonts w:hint="eastAsia" w:ascii="宋体" w:hAnsi="宋体"/>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tcPr>
          <w:p>
            <w:pPr>
              <w:spacing w:line="360" w:lineRule="exact"/>
              <w:jc w:val="center"/>
              <w:rPr>
                <w:rFonts w:hint="eastAsia" w:ascii="宋体" w:hAnsi="宋体"/>
                <w:szCs w:val="21"/>
              </w:rPr>
            </w:pPr>
            <w:r>
              <w:rPr>
                <w:rFonts w:hint="eastAsia" w:ascii="宋体" w:hAnsi="宋体"/>
                <w:szCs w:val="21"/>
              </w:rPr>
              <w:t>8.4</w:t>
            </w:r>
          </w:p>
        </w:tc>
        <w:tc>
          <w:tcPr>
            <w:tcW w:w="3686" w:type="dxa"/>
          </w:tcPr>
          <w:p>
            <w:pPr>
              <w:spacing w:line="360" w:lineRule="exact"/>
              <w:jc w:val="left"/>
              <w:rPr>
                <w:rFonts w:hint="eastAsia" w:ascii="宋体" w:hAnsi="宋体"/>
                <w:szCs w:val="21"/>
              </w:rPr>
            </w:pPr>
            <w:r>
              <w:rPr>
                <w:rFonts w:hint="eastAsia" w:ascii="宋体" w:hAnsi="宋体"/>
                <w:szCs w:val="21"/>
              </w:rPr>
              <w:t>自控设备仪表调试</w:t>
            </w:r>
          </w:p>
        </w:tc>
        <w:tc>
          <w:tcPr>
            <w:tcW w:w="850" w:type="dxa"/>
            <w:vAlign w:val="center"/>
          </w:tcPr>
          <w:p>
            <w:pPr>
              <w:spacing w:line="360" w:lineRule="exact"/>
              <w:jc w:val="center"/>
              <w:rPr>
                <w:rFonts w:hint="eastAsia" w:ascii="宋体" w:hAnsi="宋体"/>
                <w:szCs w:val="21"/>
              </w:rPr>
            </w:pPr>
            <w:r>
              <w:rPr>
                <w:rFonts w:hint="eastAsia" w:ascii="宋体" w:hAnsi="宋体"/>
                <w:szCs w:val="21"/>
              </w:rPr>
              <w:t>√</w:t>
            </w:r>
          </w:p>
        </w:tc>
        <w:tc>
          <w:tcPr>
            <w:tcW w:w="851" w:type="dxa"/>
            <w:vAlign w:val="center"/>
          </w:tcPr>
          <w:p>
            <w:pPr>
              <w:spacing w:line="360" w:lineRule="exact"/>
              <w:jc w:val="center"/>
              <w:rPr>
                <w:rFonts w:hint="eastAsia" w:ascii="宋体" w:hAnsi="宋体"/>
                <w:szCs w:val="21"/>
              </w:rPr>
            </w:pPr>
            <w:r>
              <w:rPr>
                <w:rFonts w:hint="eastAsia" w:ascii="宋体" w:hAnsi="宋体"/>
                <w:szCs w:val="21"/>
              </w:rPr>
              <w:t>√</w:t>
            </w:r>
          </w:p>
        </w:tc>
        <w:tc>
          <w:tcPr>
            <w:tcW w:w="2693" w:type="dxa"/>
          </w:tcPr>
          <w:p>
            <w:pPr>
              <w:spacing w:line="360" w:lineRule="exact"/>
              <w:rPr>
                <w:rFonts w:hint="eastAsia" w:ascii="宋体" w:hAnsi="宋体"/>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tcPr>
          <w:p>
            <w:pPr>
              <w:spacing w:line="360" w:lineRule="exact"/>
              <w:jc w:val="center"/>
              <w:rPr>
                <w:rFonts w:hint="eastAsia" w:ascii="宋体" w:hAnsi="宋体"/>
                <w:szCs w:val="21"/>
              </w:rPr>
            </w:pPr>
            <w:r>
              <w:rPr>
                <w:rFonts w:hint="eastAsia" w:ascii="宋体" w:hAnsi="宋体"/>
                <w:szCs w:val="21"/>
              </w:rPr>
              <w:t>8.5</w:t>
            </w:r>
          </w:p>
        </w:tc>
        <w:tc>
          <w:tcPr>
            <w:tcW w:w="3686" w:type="dxa"/>
          </w:tcPr>
          <w:p>
            <w:pPr>
              <w:spacing w:line="360" w:lineRule="exact"/>
              <w:jc w:val="left"/>
              <w:rPr>
                <w:rFonts w:hint="eastAsia" w:ascii="宋体" w:hAnsi="宋体"/>
                <w:szCs w:val="21"/>
              </w:rPr>
            </w:pPr>
            <w:r>
              <w:rPr>
                <w:rFonts w:hint="eastAsia" w:ascii="宋体" w:hAnsi="宋体"/>
                <w:szCs w:val="21"/>
              </w:rPr>
              <w:t>自控系统调试</w:t>
            </w:r>
          </w:p>
        </w:tc>
        <w:tc>
          <w:tcPr>
            <w:tcW w:w="850" w:type="dxa"/>
            <w:vAlign w:val="center"/>
          </w:tcPr>
          <w:p>
            <w:pPr>
              <w:spacing w:line="360" w:lineRule="exact"/>
              <w:jc w:val="center"/>
              <w:rPr>
                <w:rFonts w:hint="eastAsia" w:ascii="宋体" w:hAnsi="宋体"/>
                <w:szCs w:val="21"/>
              </w:rPr>
            </w:pPr>
            <w:r>
              <w:rPr>
                <w:rFonts w:hint="eastAsia" w:ascii="宋体" w:hAnsi="宋体"/>
                <w:szCs w:val="21"/>
              </w:rPr>
              <w:t>√</w:t>
            </w:r>
          </w:p>
        </w:tc>
        <w:tc>
          <w:tcPr>
            <w:tcW w:w="851" w:type="dxa"/>
            <w:vAlign w:val="center"/>
          </w:tcPr>
          <w:p>
            <w:pPr>
              <w:spacing w:line="360" w:lineRule="exact"/>
              <w:jc w:val="center"/>
              <w:rPr>
                <w:rFonts w:hint="eastAsia" w:ascii="宋体" w:hAnsi="宋体"/>
                <w:szCs w:val="21"/>
              </w:rPr>
            </w:pPr>
            <w:r>
              <w:rPr>
                <w:rFonts w:hint="eastAsia" w:ascii="宋体" w:hAnsi="宋体"/>
                <w:szCs w:val="21"/>
              </w:rPr>
              <w:t>√</w:t>
            </w:r>
          </w:p>
        </w:tc>
        <w:tc>
          <w:tcPr>
            <w:tcW w:w="2693" w:type="dxa"/>
          </w:tcPr>
          <w:p>
            <w:pPr>
              <w:spacing w:line="360" w:lineRule="exact"/>
              <w:rPr>
                <w:rFonts w:hint="eastAsia" w:ascii="宋体" w:hAnsi="宋体"/>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9</w:t>
            </w:r>
          </w:p>
        </w:tc>
        <w:tc>
          <w:tcPr>
            <w:tcW w:w="8080" w:type="dxa"/>
            <w:gridSpan w:val="4"/>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培训</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exact"/>
          <w:jc w:val="center"/>
        </w:trPr>
        <w:tc>
          <w:tcPr>
            <w:tcW w:w="699"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9.1</w:t>
            </w:r>
          </w:p>
        </w:tc>
        <w:tc>
          <w:tcPr>
            <w:tcW w:w="3686" w:type="dxa"/>
            <w:vAlign w:val="center"/>
          </w:tcPr>
          <w:p>
            <w:pPr>
              <w:widowControl/>
              <w:jc w:val="left"/>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操作人员培训，维护、检修人员培训</w:t>
            </w:r>
          </w:p>
        </w:tc>
        <w:tc>
          <w:tcPr>
            <w:tcW w:w="850" w:type="dxa"/>
            <w:vAlign w:val="center"/>
          </w:tcPr>
          <w:p>
            <w:pPr>
              <w:widowControl/>
              <w:jc w:val="left"/>
              <w:rPr>
                <w:rFonts w:hint="eastAsia" w:asciiTheme="minorEastAsia" w:hAnsiTheme="minorEastAsia" w:eastAsiaTheme="minorEastAsia" w:cstheme="minorEastAsia"/>
                <w:color w:val="000000"/>
                <w:kern w:val="0"/>
                <w:szCs w:val="21"/>
              </w:rPr>
            </w:pPr>
          </w:p>
        </w:tc>
        <w:tc>
          <w:tcPr>
            <w:tcW w:w="851" w:type="dxa"/>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szCs w:val="21"/>
              </w:rPr>
              <w:t>√</w:t>
            </w:r>
          </w:p>
        </w:tc>
        <w:tc>
          <w:tcPr>
            <w:tcW w:w="2693" w:type="dxa"/>
            <w:vAlign w:val="center"/>
          </w:tcPr>
          <w:p>
            <w:pPr>
              <w:widowControl/>
              <w:jc w:val="left"/>
              <w:rPr>
                <w:rFonts w:hint="eastAsia" w:asciiTheme="minorEastAsia" w:hAnsiTheme="minorEastAsia" w:eastAsiaTheme="minorEastAsia" w:cstheme="minorEastAsia"/>
                <w:color w:val="000000"/>
                <w:kern w:val="0"/>
                <w:szCs w:val="21"/>
              </w:rPr>
            </w:pPr>
          </w:p>
        </w:tc>
      </w:tr>
    </w:tbl>
    <w:p>
      <w:pPr>
        <w:pStyle w:val="13"/>
        <w:numPr>
          <w:ilvl w:val="0"/>
          <w:numId w:val="1"/>
        </w:numPr>
        <w:jc w:val="left"/>
        <w:rPr>
          <w:sz w:val="28"/>
          <w:szCs w:val="28"/>
        </w:rPr>
      </w:pPr>
      <w:r>
        <w:rPr>
          <w:rFonts w:hint="eastAsia"/>
          <w:sz w:val="28"/>
          <w:szCs w:val="28"/>
        </w:rPr>
        <w:t>资料交付</w:t>
      </w:r>
    </w:p>
    <w:p>
      <w:pPr>
        <w:widowControl/>
        <w:numPr>
          <w:ilvl w:val="0"/>
          <w:numId w:val="18"/>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投标单位投标时需交付以下技术资料：</w:t>
      </w:r>
    </w:p>
    <w:p>
      <w:pPr>
        <w:widowControl/>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 xml:space="preserve">    1）完善的设备布置图，DWG与PDF格式；</w:t>
      </w:r>
    </w:p>
    <w:p>
      <w:pPr>
        <w:widowControl/>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 xml:space="preserve">    2）设备外形图，包括主要配置清单、材质、材料规格、重量等信息；</w:t>
      </w:r>
    </w:p>
    <w:p>
      <w:pPr>
        <w:widowControl/>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 xml:space="preserve">    3）沼渣料仓的推平滑架、防架桥斜滑架系统，</w:t>
      </w:r>
      <w:r>
        <w:rPr>
          <w:rFonts w:asciiTheme="minorEastAsia" w:hAnsiTheme="minorEastAsia" w:eastAsiaTheme="minorEastAsia" w:cstheme="minorEastAsia"/>
          <w:sz w:val="24"/>
          <w:szCs w:val="24"/>
          <w:highlight w:val="yellow"/>
        </w:rPr>
        <w:t>腭式阀防滴水等结构需提供明确可行的方案介绍和结构形式（图纸中体现）</w:t>
      </w:r>
      <w:r>
        <w:rPr>
          <w:rFonts w:asciiTheme="minorEastAsia" w:hAnsiTheme="minorEastAsia" w:eastAsiaTheme="minorEastAsia" w:cstheme="minorEastAsia"/>
          <w:sz w:val="24"/>
          <w:szCs w:val="24"/>
        </w:rPr>
        <w:t>。</w:t>
      </w:r>
    </w:p>
    <w:p>
      <w:pPr>
        <w:widowControl/>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 xml:space="preserve">    4）液压系统配置清单，主要配件（电机、油泵、电磁换向阀、油缸等）选型规格；</w:t>
      </w:r>
    </w:p>
    <w:p>
      <w:pPr>
        <w:widowControl/>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 xml:space="preserve">    5）初步的电气配置清单及电缆清册。</w:t>
      </w:r>
    </w:p>
    <w:p>
      <w:pPr>
        <w:widowControl/>
        <w:numPr>
          <w:ilvl w:val="0"/>
          <w:numId w:val="18"/>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合同签订1</w:t>
      </w:r>
      <w:r>
        <w:rPr>
          <w:rFonts w:asciiTheme="minorEastAsia" w:hAnsiTheme="minorEastAsia" w:eastAsiaTheme="minorEastAsia" w:cstheme="minorEastAsia"/>
          <w:sz w:val="24"/>
          <w:szCs w:val="24"/>
        </w:rPr>
        <w:t>0</w:t>
      </w:r>
      <w:r>
        <w:rPr>
          <w:rFonts w:hint="eastAsia" w:asciiTheme="minorEastAsia" w:hAnsiTheme="minorEastAsia" w:eastAsiaTheme="minorEastAsia" w:cstheme="minorEastAsia"/>
          <w:sz w:val="24"/>
          <w:szCs w:val="24"/>
        </w:rPr>
        <w:t>天内（含节假日）乙方向甲方提交所有设备及辅件的细化设计图纸、清单等资料，甲方会审意见反馈给乙方，5天内（含节假日）经甲乙双方技术问题沟通后，确定终版施工用技术图纸、资料。因乙方图纸设计缺陷导致变更延时不作为合同延期交货的依据，乙方对合同工期负责。</w:t>
      </w:r>
    </w:p>
    <w:p>
      <w:pPr>
        <w:widowControl/>
        <w:numPr>
          <w:ilvl w:val="0"/>
          <w:numId w:val="18"/>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合同签署1</w:t>
      </w:r>
      <w:r>
        <w:rPr>
          <w:rFonts w:asciiTheme="minorEastAsia" w:hAnsiTheme="minorEastAsia" w:eastAsiaTheme="minorEastAsia" w:cstheme="minorEastAsia"/>
          <w:sz w:val="24"/>
          <w:szCs w:val="24"/>
        </w:rPr>
        <w:t>5</w:t>
      </w:r>
      <w:r>
        <w:rPr>
          <w:rFonts w:hint="eastAsia" w:asciiTheme="minorEastAsia" w:hAnsiTheme="minorEastAsia" w:eastAsiaTheme="minorEastAsia" w:cstheme="minorEastAsia"/>
          <w:sz w:val="24"/>
          <w:szCs w:val="24"/>
        </w:rPr>
        <w:t>个工作日向甲方提供最终</w:t>
      </w:r>
      <w:r>
        <w:rPr>
          <w:rFonts w:asciiTheme="minorEastAsia" w:hAnsiTheme="minorEastAsia" w:eastAsiaTheme="minorEastAsia" w:cstheme="minorEastAsia"/>
          <w:sz w:val="24"/>
          <w:szCs w:val="24"/>
        </w:rPr>
        <w:t>版液压</w:t>
      </w:r>
      <w:r>
        <w:rPr>
          <w:rFonts w:hint="eastAsia" w:asciiTheme="minorEastAsia" w:hAnsiTheme="minorEastAsia" w:eastAsiaTheme="minorEastAsia" w:cstheme="minorEastAsia"/>
          <w:sz w:val="24"/>
          <w:szCs w:val="24"/>
        </w:rPr>
        <w:t>原理图、液压</w:t>
      </w:r>
      <w:r>
        <w:rPr>
          <w:rFonts w:asciiTheme="minorEastAsia" w:hAnsiTheme="minorEastAsia" w:eastAsiaTheme="minorEastAsia" w:cstheme="minorEastAsia"/>
          <w:sz w:val="24"/>
          <w:szCs w:val="24"/>
        </w:rPr>
        <w:t>系统</w:t>
      </w:r>
      <w:r>
        <w:rPr>
          <w:rFonts w:hint="eastAsia" w:asciiTheme="minorEastAsia" w:hAnsiTheme="minorEastAsia" w:eastAsiaTheme="minorEastAsia" w:cstheme="minorEastAsia"/>
          <w:sz w:val="24"/>
          <w:szCs w:val="24"/>
        </w:rPr>
        <w:t>详细</w:t>
      </w:r>
      <w:r>
        <w:rPr>
          <w:rFonts w:asciiTheme="minorEastAsia" w:hAnsiTheme="minorEastAsia" w:eastAsiaTheme="minorEastAsia" w:cstheme="minorEastAsia"/>
          <w:sz w:val="24"/>
          <w:szCs w:val="24"/>
        </w:rPr>
        <w:t>配置清单；</w:t>
      </w:r>
    </w:p>
    <w:p>
      <w:pPr>
        <w:widowControl/>
        <w:numPr>
          <w:ilvl w:val="0"/>
          <w:numId w:val="18"/>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合同签署1</w:t>
      </w:r>
      <w:r>
        <w:rPr>
          <w:rFonts w:asciiTheme="minorEastAsia" w:hAnsiTheme="minorEastAsia" w:eastAsiaTheme="minorEastAsia" w:cstheme="minorEastAsia"/>
          <w:sz w:val="24"/>
          <w:szCs w:val="24"/>
        </w:rPr>
        <w:t>5</w:t>
      </w:r>
      <w:r>
        <w:rPr>
          <w:rFonts w:hint="eastAsia" w:asciiTheme="minorEastAsia" w:hAnsiTheme="minorEastAsia" w:eastAsiaTheme="minorEastAsia" w:cstheme="minorEastAsia"/>
          <w:sz w:val="24"/>
          <w:szCs w:val="24"/>
        </w:rPr>
        <w:t>个工作日向甲方提供最终</w:t>
      </w:r>
      <w:r>
        <w:rPr>
          <w:rFonts w:asciiTheme="minorEastAsia" w:hAnsiTheme="minorEastAsia" w:eastAsiaTheme="minorEastAsia" w:cstheme="minorEastAsia"/>
          <w:sz w:val="24"/>
          <w:szCs w:val="24"/>
        </w:rPr>
        <w:t>版</w:t>
      </w:r>
      <w:r>
        <w:rPr>
          <w:rFonts w:hint="eastAsia" w:asciiTheme="minorEastAsia" w:hAnsiTheme="minorEastAsia" w:eastAsiaTheme="minorEastAsia" w:cstheme="minorEastAsia"/>
          <w:sz w:val="24"/>
          <w:szCs w:val="24"/>
        </w:rPr>
        <w:t>电气原理图、工艺流程图、设备安装图、PLC、上位机</w:t>
      </w:r>
      <w:r>
        <w:rPr>
          <w:rFonts w:asciiTheme="minorEastAsia" w:hAnsiTheme="minorEastAsia" w:eastAsiaTheme="minorEastAsia" w:cstheme="minorEastAsia"/>
          <w:sz w:val="24"/>
          <w:szCs w:val="24"/>
        </w:rPr>
        <w:t>控制画面</w:t>
      </w:r>
      <w:r>
        <w:rPr>
          <w:rFonts w:hint="eastAsia" w:asciiTheme="minorEastAsia" w:hAnsiTheme="minorEastAsia" w:eastAsiaTheme="minorEastAsia" w:cstheme="minorEastAsia"/>
          <w:sz w:val="24"/>
          <w:szCs w:val="24"/>
        </w:rPr>
        <w:t>。所有电气设备清单以及功率电流、电压相关参数。</w:t>
      </w:r>
    </w:p>
    <w:p>
      <w:pPr>
        <w:widowControl/>
        <w:numPr>
          <w:ilvl w:val="0"/>
          <w:numId w:val="18"/>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设备出厂时或安装调试期间乙方提供各设备操作说明书、维护保养手册、合格证、质保书等设备资料；及各种原材料的进货验收资料、材质检测报告；设备过程测试报告、检测验收报告。</w:t>
      </w:r>
    </w:p>
    <w:p>
      <w:pPr>
        <w:widowControl/>
        <w:numPr>
          <w:ilvl w:val="0"/>
          <w:numId w:val="18"/>
        </w:numPr>
        <w:autoSpaceDE w:val="0"/>
        <w:autoSpaceDN w:val="0"/>
        <w:adjustRightInd w:val="0"/>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乙方向甲方移交竣工图纸、资料为电子档DWG、word及纸质档6份及solidworks外形模型。</w:t>
      </w:r>
    </w:p>
    <w:p>
      <w:pPr>
        <w:pStyle w:val="13"/>
        <w:numPr>
          <w:ilvl w:val="0"/>
          <w:numId w:val="1"/>
        </w:numPr>
        <w:jc w:val="left"/>
        <w:rPr>
          <w:sz w:val="28"/>
          <w:szCs w:val="28"/>
        </w:rPr>
      </w:pPr>
      <w:r>
        <w:rPr>
          <w:rFonts w:hint="eastAsia"/>
          <w:sz w:val="28"/>
          <w:szCs w:val="28"/>
        </w:rPr>
        <w:t>技术服务</w:t>
      </w:r>
    </w:p>
    <w:p>
      <w:pPr>
        <w:spacing w:line="360" w:lineRule="auto"/>
        <w:ind w:firstLine="480" w:firstLineChars="200"/>
        <w:rPr>
          <w:rFonts w:hint="eastAsia" w:ascii="宋体" w:hAnsi="宋体"/>
          <w:sz w:val="24"/>
        </w:rPr>
      </w:pPr>
      <w:r>
        <w:rPr>
          <w:rFonts w:hint="eastAsia" w:ascii="宋体" w:hAnsi="宋体"/>
          <w:sz w:val="24"/>
        </w:rPr>
        <w:t>乙方负责</w:t>
      </w:r>
      <w:r>
        <w:rPr>
          <w:rFonts w:ascii="宋体" w:hAnsi="宋体"/>
          <w:sz w:val="24"/>
        </w:rPr>
        <w:t>培训该设备合格的操作人员、维护保养人员和维修人员，从而保证设备正常、有序和高效的运作。具体如下：</w:t>
      </w:r>
    </w:p>
    <w:p>
      <w:pPr>
        <w:pStyle w:val="19"/>
        <w:numPr>
          <w:ilvl w:val="0"/>
          <w:numId w:val="19"/>
        </w:numPr>
        <w:spacing w:line="360" w:lineRule="auto"/>
        <w:ind w:firstLineChars="0"/>
        <w:rPr>
          <w:rFonts w:hint="eastAsia" w:ascii="宋体" w:hAnsi="宋体"/>
          <w:sz w:val="24"/>
        </w:rPr>
      </w:pPr>
      <w:r>
        <w:rPr>
          <w:rFonts w:hint="eastAsia" w:ascii="宋体" w:hAnsi="宋体"/>
          <w:sz w:val="24"/>
        </w:rPr>
        <w:t>乙方</w:t>
      </w:r>
      <w:r>
        <w:rPr>
          <w:rFonts w:ascii="宋体" w:hAnsi="宋体"/>
          <w:sz w:val="24"/>
        </w:rPr>
        <w:t>负责为该项目的工程技术人员及操作技术工人</w:t>
      </w:r>
      <w:r>
        <w:rPr>
          <w:rFonts w:hint="eastAsia" w:ascii="宋体" w:hAnsi="宋体"/>
          <w:sz w:val="24"/>
        </w:rPr>
        <w:t>、维护人员</w:t>
      </w:r>
      <w:r>
        <w:rPr>
          <w:rFonts w:ascii="宋体" w:hAnsi="宋体"/>
          <w:sz w:val="24"/>
        </w:rPr>
        <w:t>进行技术培训，在项目现场安装、调试和试运行进行不少于</w:t>
      </w:r>
      <w:r>
        <w:rPr>
          <w:rFonts w:hint="eastAsia" w:ascii="宋体" w:hAnsi="宋体"/>
          <w:sz w:val="24"/>
        </w:rPr>
        <w:t>7天的技术服务</w:t>
      </w:r>
      <w:r>
        <w:rPr>
          <w:rFonts w:ascii="宋体" w:hAnsi="宋体"/>
          <w:sz w:val="24"/>
        </w:rPr>
        <w:t>。</w:t>
      </w:r>
    </w:p>
    <w:p>
      <w:pPr>
        <w:pStyle w:val="19"/>
        <w:numPr>
          <w:ilvl w:val="0"/>
          <w:numId w:val="19"/>
        </w:numPr>
        <w:spacing w:line="360" w:lineRule="auto"/>
        <w:ind w:firstLineChars="0"/>
        <w:rPr>
          <w:rFonts w:hint="eastAsia" w:ascii="宋体" w:hAnsi="宋体"/>
          <w:sz w:val="24"/>
        </w:rPr>
      </w:pPr>
      <w:r>
        <w:rPr>
          <w:rFonts w:hint="eastAsia" w:ascii="宋体" w:hAnsi="宋体"/>
          <w:sz w:val="24"/>
        </w:rPr>
        <w:t>乙</w:t>
      </w:r>
      <w:r>
        <w:rPr>
          <w:rFonts w:ascii="宋体" w:hAnsi="宋体"/>
          <w:sz w:val="24"/>
        </w:rPr>
        <w:t>方选派具有丰富经验和资格的技术人员作技术指导，制定详细的理论及理论与实践培训大纲，负责解释和讲解设备有关技术问题。</w:t>
      </w:r>
    </w:p>
    <w:p>
      <w:pPr>
        <w:pStyle w:val="19"/>
        <w:numPr>
          <w:ilvl w:val="0"/>
          <w:numId w:val="19"/>
        </w:numPr>
        <w:spacing w:line="360" w:lineRule="auto"/>
        <w:ind w:firstLineChars="0"/>
        <w:rPr>
          <w:rFonts w:hint="eastAsia" w:ascii="宋体" w:hAnsi="宋体"/>
          <w:sz w:val="24"/>
        </w:rPr>
      </w:pPr>
      <w:r>
        <w:rPr>
          <w:rFonts w:hint="eastAsia" w:ascii="宋体" w:hAnsi="宋体"/>
          <w:sz w:val="24"/>
        </w:rPr>
        <w:t>乙</w:t>
      </w:r>
      <w:r>
        <w:rPr>
          <w:rFonts w:ascii="宋体" w:hAnsi="宋体"/>
          <w:sz w:val="24"/>
        </w:rPr>
        <w:t>方</w:t>
      </w:r>
      <w:r>
        <w:rPr>
          <w:rFonts w:hint="eastAsia" w:ascii="宋体" w:hAnsi="宋体"/>
          <w:sz w:val="24"/>
        </w:rPr>
        <w:t>提供培训内容及受训人签字记录单或考卷，确保受训人掌握维护技术要领。该记录作为验收资料之一。</w:t>
      </w:r>
    </w:p>
    <w:p>
      <w:pPr>
        <w:pStyle w:val="13"/>
        <w:numPr>
          <w:ilvl w:val="0"/>
          <w:numId w:val="1"/>
        </w:numPr>
        <w:jc w:val="left"/>
        <w:rPr>
          <w:sz w:val="28"/>
          <w:szCs w:val="28"/>
        </w:rPr>
      </w:pPr>
      <w:bookmarkStart w:id="2" w:name="_Toc11153244"/>
      <w:bookmarkStart w:id="3" w:name="_Toc12000782"/>
      <w:r>
        <w:rPr>
          <w:sz w:val="28"/>
          <w:szCs w:val="28"/>
        </w:rPr>
        <w:t>产品质量保证</w:t>
      </w:r>
      <w:bookmarkEnd w:id="2"/>
      <w:bookmarkEnd w:id="3"/>
    </w:p>
    <w:p>
      <w:pPr>
        <w:pStyle w:val="7"/>
        <w:spacing w:line="360" w:lineRule="auto"/>
        <w:ind w:firstLine="452" w:firstLineChars="200"/>
        <w:rPr>
          <w:spacing w:val="-7"/>
          <w:sz w:val="24"/>
          <w:szCs w:val="24"/>
        </w:rPr>
      </w:pPr>
      <w:r>
        <w:rPr>
          <w:rFonts w:hint="eastAsia"/>
          <w:spacing w:val="-7"/>
          <w:sz w:val="24"/>
          <w:szCs w:val="24"/>
        </w:rPr>
        <w:t>乙方有可操作的质量保证程序及相应文件，并在生产、检验本技术协议书中的产品时严格执行质量程序文件。</w:t>
      </w:r>
    </w:p>
    <w:p>
      <w:pPr>
        <w:pStyle w:val="7"/>
        <w:spacing w:line="360" w:lineRule="auto"/>
        <w:ind w:firstLine="452" w:firstLineChars="200"/>
        <w:rPr>
          <w:spacing w:val="-7"/>
          <w:sz w:val="24"/>
          <w:szCs w:val="24"/>
        </w:rPr>
      </w:pPr>
      <w:r>
        <w:rPr>
          <w:rFonts w:hint="eastAsia"/>
          <w:spacing w:val="-7"/>
          <w:sz w:val="24"/>
          <w:szCs w:val="24"/>
        </w:rPr>
        <w:t>在产品监造、检验和验收过程中，如发现任何不符合本规范书要求的产品或配件，乙方及时返修或更换，直至符合规定要求。</w:t>
      </w:r>
    </w:p>
    <w:p>
      <w:pPr>
        <w:pStyle w:val="7"/>
        <w:spacing w:line="360" w:lineRule="auto"/>
        <w:ind w:firstLine="452" w:firstLineChars="200"/>
        <w:rPr>
          <w:spacing w:val="-7"/>
          <w:sz w:val="24"/>
          <w:szCs w:val="24"/>
        </w:rPr>
      </w:pPr>
      <w:r>
        <w:rPr>
          <w:rFonts w:hint="eastAsia"/>
          <w:spacing w:val="-7"/>
          <w:sz w:val="24"/>
          <w:szCs w:val="24"/>
        </w:rPr>
        <w:t>若</w:t>
      </w:r>
      <w:r>
        <w:rPr>
          <w:rFonts w:hint="eastAsia"/>
          <w:spacing w:val="-7"/>
          <w:sz w:val="24"/>
          <w:szCs w:val="24"/>
          <w:highlight w:val="yellow"/>
        </w:rPr>
        <w:t>调试</w:t>
      </w:r>
      <w:r>
        <w:rPr>
          <w:spacing w:val="-7"/>
          <w:sz w:val="24"/>
          <w:szCs w:val="24"/>
          <w:highlight w:val="yellow"/>
        </w:rPr>
        <w:t>试运行期间</w:t>
      </w:r>
      <w:r>
        <w:rPr>
          <w:rFonts w:hint="eastAsia"/>
          <w:spacing w:val="-7"/>
          <w:sz w:val="24"/>
          <w:szCs w:val="24"/>
          <w:highlight w:val="yellow"/>
        </w:rPr>
        <w:t>料斗排</w:t>
      </w:r>
      <w:r>
        <w:rPr>
          <w:spacing w:val="-7"/>
          <w:sz w:val="24"/>
          <w:szCs w:val="24"/>
          <w:highlight w:val="yellow"/>
        </w:rPr>
        <w:t>料不畅</w:t>
      </w:r>
      <w:r>
        <w:rPr>
          <w:rFonts w:hint="eastAsia"/>
          <w:spacing w:val="-7"/>
          <w:sz w:val="24"/>
          <w:szCs w:val="24"/>
          <w:highlight w:val="yellow"/>
        </w:rPr>
        <w:t>、有效装料</w:t>
      </w:r>
      <w:r>
        <w:rPr>
          <w:spacing w:val="-7"/>
          <w:sz w:val="24"/>
          <w:szCs w:val="24"/>
          <w:highlight w:val="yellow"/>
        </w:rPr>
        <w:t>容积达不到</w:t>
      </w:r>
      <w:r>
        <w:rPr>
          <w:rFonts w:hint="eastAsia"/>
          <w:spacing w:val="-7"/>
          <w:sz w:val="24"/>
          <w:szCs w:val="24"/>
          <w:highlight w:val="yellow"/>
        </w:rPr>
        <w:t>要求、螺旋</w:t>
      </w:r>
      <w:r>
        <w:rPr>
          <w:spacing w:val="-7"/>
          <w:sz w:val="24"/>
          <w:szCs w:val="24"/>
          <w:highlight w:val="yellow"/>
        </w:rPr>
        <w:t>不能送到料斗</w:t>
      </w:r>
      <w:r>
        <w:rPr>
          <w:rFonts w:hint="eastAsia"/>
          <w:spacing w:val="-7"/>
          <w:sz w:val="24"/>
          <w:szCs w:val="24"/>
          <w:highlight w:val="yellow"/>
        </w:rPr>
        <w:t>、</w:t>
      </w:r>
      <w:r>
        <w:rPr>
          <w:spacing w:val="-7"/>
          <w:sz w:val="24"/>
          <w:szCs w:val="24"/>
          <w:highlight w:val="yellow"/>
        </w:rPr>
        <w:t>料斗</w:t>
      </w:r>
      <w:r>
        <w:rPr>
          <w:rFonts w:hint="eastAsia"/>
          <w:spacing w:val="-7"/>
          <w:sz w:val="24"/>
          <w:szCs w:val="24"/>
          <w:highlight w:val="yellow"/>
        </w:rPr>
        <w:t>关闭</w:t>
      </w:r>
      <w:r>
        <w:rPr>
          <w:spacing w:val="-7"/>
          <w:sz w:val="24"/>
          <w:szCs w:val="24"/>
          <w:highlight w:val="yellow"/>
        </w:rPr>
        <w:t>不严密漏料等功能缺陷</w:t>
      </w:r>
      <w:r>
        <w:rPr>
          <w:rFonts w:hint="eastAsia"/>
          <w:spacing w:val="-7"/>
          <w:sz w:val="24"/>
          <w:szCs w:val="24"/>
          <w:highlight w:val="yellow"/>
        </w:rPr>
        <w:t>由乙方</w:t>
      </w:r>
      <w:r>
        <w:rPr>
          <w:spacing w:val="-7"/>
          <w:sz w:val="24"/>
          <w:szCs w:val="24"/>
          <w:highlight w:val="yellow"/>
        </w:rPr>
        <w:t>负责</w:t>
      </w:r>
      <w:r>
        <w:rPr>
          <w:rFonts w:hint="eastAsia"/>
          <w:spacing w:val="-7"/>
          <w:sz w:val="24"/>
          <w:szCs w:val="24"/>
          <w:highlight w:val="yellow"/>
        </w:rPr>
        <w:t>免费整改</w:t>
      </w:r>
      <w:r>
        <w:rPr>
          <w:rFonts w:hint="eastAsia"/>
          <w:spacing w:val="-7"/>
          <w:sz w:val="24"/>
          <w:szCs w:val="24"/>
        </w:rPr>
        <w:t>。</w:t>
      </w:r>
    </w:p>
    <w:p>
      <w:pPr>
        <w:pStyle w:val="7"/>
        <w:spacing w:line="360" w:lineRule="auto"/>
        <w:ind w:firstLine="452" w:firstLineChars="200"/>
        <w:rPr>
          <w:spacing w:val="-7"/>
          <w:sz w:val="24"/>
          <w:szCs w:val="24"/>
        </w:rPr>
      </w:pPr>
      <w:r>
        <w:rPr>
          <w:spacing w:val="-7"/>
          <w:sz w:val="24"/>
          <w:szCs w:val="24"/>
        </w:rPr>
        <w:t>设备质保期</w:t>
      </w:r>
      <w:r>
        <w:rPr>
          <w:rFonts w:hint="eastAsia"/>
          <w:spacing w:val="-7"/>
          <w:sz w:val="24"/>
          <w:szCs w:val="24"/>
        </w:rPr>
        <w:t>说明</w:t>
      </w:r>
      <w:r>
        <w:rPr>
          <w:spacing w:val="-7"/>
          <w:sz w:val="24"/>
          <w:szCs w:val="24"/>
        </w:rPr>
        <w:t>: 保证期（质保期）为</w:t>
      </w:r>
      <w:r>
        <w:rPr>
          <w:rFonts w:hint="eastAsia" w:ascii="Times New Roman" w:hAnsi="Times New Roman"/>
          <w:kern w:val="0"/>
          <w:sz w:val="24"/>
          <w:szCs w:val="21"/>
        </w:rPr>
        <w:t>从调试验收合格后起2年质保期或设备及资料（含随机配件、说明书、电子资料等全套资料）齐全移交采购方后起计30个月</w:t>
      </w:r>
      <w:r>
        <w:rPr>
          <w:rFonts w:hint="eastAsia"/>
          <w:spacing w:val="-7"/>
          <w:sz w:val="24"/>
          <w:szCs w:val="24"/>
        </w:rPr>
        <w:t>；</w:t>
      </w:r>
      <w:r>
        <w:rPr>
          <w:rFonts w:hint="eastAsia" w:ascii="Times New Roman" w:hAnsi="Times New Roman"/>
          <w:kern w:val="0"/>
          <w:sz w:val="24"/>
          <w:szCs w:val="21"/>
        </w:rPr>
        <w:t>验收不合格需整改的由供应方负责无偿整改，从整改完成验收后起计质保期；</w:t>
      </w:r>
      <w:r>
        <w:rPr>
          <w:spacing w:val="-7"/>
          <w:sz w:val="24"/>
          <w:szCs w:val="24"/>
        </w:rPr>
        <w:t>质保期内﹑质保期后</w:t>
      </w:r>
      <w:r>
        <w:rPr>
          <w:rFonts w:hint="eastAsia"/>
          <w:spacing w:val="-7"/>
          <w:sz w:val="24"/>
          <w:szCs w:val="24"/>
        </w:rPr>
        <w:t>，乙方</w:t>
      </w:r>
      <w:r>
        <w:rPr>
          <w:spacing w:val="-7"/>
          <w:sz w:val="24"/>
          <w:szCs w:val="24"/>
        </w:rPr>
        <w:t>进行长期售后服务， 及时满足</w:t>
      </w:r>
      <w:r>
        <w:rPr>
          <w:rFonts w:hint="eastAsia"/>
          <w:spacing w:val="-7"/>
          <w:sz w:val="24"/>
          <w:szCs w:val="24"/>
        </w:rPr>
        <w:t>定作方</w:t>
      </w:r>
      <w:r>
        <w:rPr>
          <w:spacing w:val="-7"/>
          <w:sz w:val="24"/>
          <w:szCs w:val="24"/>
        </w:rPr>
        <w:t>需求。质保期内设备在正常使用的条件下发生故障</w:t>
      </w:r>
      <w:r>
        <w:rPr>
          <w:rFonts w:hint="eastAsia"/>
          <w:spacing w:val="-7"/>
          <w:sz w:val="24"/>
          <w:szCs w:val="24"/>
        </w:rPr>
        <w:t>，</w:t>
      </w:r>
      <w:r>
        <w:rPr>
          <w:spacing w:val="-7"/>
          <w:sz w:val="24"/>
          <w:szCs w:val="24"/>
        </w:rPr>
        <w:t>均由</w:t>
      </w:r>
      <w:r>
        <w:rPr>
          <w:rFonts w:hint="eastAsia"/>
          <w:spacing w:val="-7"/>
          <w:sz w:val="24"/>
          <w:szCs w:val="24"/>
        </w:rPr>
        <w:t>乙方</w:t>
      </w:r>
      <w:r>
        <w:rPr>
          <w:spacing w:val="-7"/>
          <w:sz w:val="24"/>
          <w:szCs w:val="24"/>
        </w:rPr>
        <w:t>负责免费修理更换。</w:t>
      </w:r>
    </w:p>
    <w:p>
      <w:pPr>
        <w:pStyle w:val="13"/>
        <w:numPr>
          <w:ilvl w:val="0"/>
          <w:numId w:val="1"/>
        </w:numPr>
        <w:jc w:val="left"/>
        <w:rPr>
          <w:sz w:val="28"/>
          <w:szCs w:val="28"/>
        </w:rPr>
      </w:pPr>
      <w:bookmarkStart w:id="4" w:name="_Toc511931778"/>
      <w:r>
        <w:rPr>
          <w:rFonts w:hint="eastAsia"/>
          <w:sz w:val="28"/>
          <w:szCs w:val="28"/>
        </w:rPr>
        <w:t>售后服务</w:t>
      </w:r>
      <w:bookmarkEnd w:id="4"/>
    </w:p>
    <w:p>
      <w:pPr>
        <w:spacing w:line="360" w:lineRule="auto"/>
        <w:ind w:left="-73" w:leftChars="-35" w:firstLine="480" w:firstLineChars="200"/>
        <w:rPr>
          <w:rFonts w:hint="eastAsia" w:asciiTheme="minorEastAsia" w:hAnsiTheme="minorEastAsia"/>
          <w:sz w:val="24"/>
          <w:szCs w:val="24"/>
        </w:rPr>
      </w:pPr>
      <w:r>
        <w:rPr>
          <w:rFonts w:hint="eastAsia" w:asciiTheme="minorEastAsia" w:hAnsiTheme="minorEastAsia"/>
          <w:sz w:val="24"/>
          <w:szCs w:val="24"/>
        </w:rPr>
        <w:t>乙方对所供货产品提供完整的技术保证和质量保证。</w:t>
      </w:r>
    </w:p>
    <w:p>
      <w:pPr>
        <w:spacing w:line="360" w:lineRule="auto"/>
        <w:ind w:left="-73" w:leftChars="-35" w:firstLine="480" w:firstLineChars="200"/>
        <w:jc w:val="left"/>
        <w:rPr>
          <w:rFonts w:hint="eastAsia" w:hAnsi="宋体"/>
          <w:sz w:val="24"/>
          <w:szCs w:val="24"/>
        </w:rPr>
      </w:pPr>
      <w:r>
        <w:rPr>
          <w:rFonts w:hint="eastAsia" w:hAnsi="宋体"/>
          <w:sz w:val="24"/>
          <w:szCs w:val="24"/>
        </w:rPr>
        <w:t>对设备从销售之日起实行终身服务，在双方约定的保修期内，凡有质量问题的产品均实行免费包修、包换、包退，包人工及配件。用户在正确使用的条件下，如发现质量问题，在接到用户通知后3小时内做出答复：需要派出服务人员时，24小时到达现场，并保证故障不排除不撤离。</w:t>
      </w:r>
    </w:p>
    <w:p>
      <w:pPr>
        <w:pStyle w:val="13"/>
        <w:numPr>
          <w:ilvl w:val="0"/>
          <w:numId w:val="1"/>
        </w:numPr>
        <w:jc w:val="left"/>
        <w:rPr>
          <w:sz w:val="28"/>
          <w:szCs w:val="28"/>
        </w:rPr>
      </w:pPr>
      <w:r>
        <w:rPr>
          <w:rFonts w:hint="eastAsia"/>
          <w:sz w:val="28"/>
          <w:szCs w:val="28"/>
        </w:rPr>
        <w:t>备品备件清单</w:t>
      </w:r>
    </w:p>
    <w:p>
      <w:pPr>
        <w:jc w:val="center"/>
        <w:rPr>
          <w:rFonts w:hint="eastAsia" w:asciiTheme="minorEastAsia" w:hAnsiTheme="minorEastAsia" w:eastAsiaTheme="minorEastAsia"/>
          <w:b/>
          <w:color w:val="000000"/>
          <w:sz w:val="24"/>
          <w:szCs w:val="24"/>
        </w:rPr>
      </w:pPr>
      <w:r>
        <w:rPr>
          <w:rFonts w:hint="eastAsia" w:asciiTheme="minorEastAsia" w:hAnsiTheme="minorEastAsia" w:eastAsiaTheme="minorEastAsia"/>
          <w:b/>
          <w:color w:val="000000"/>
          <w:sz w:val="24"/>
          <w:szCs w:val="24"/>
        </w:rPr>
        <w:t>表一 随机备品备件及工具清单</w:t>
      </w:r>
    </w:p>
    <w:tbl>
      <w:tblPr>
        <w:tblStyle w:val="16"/>
        <w:tblW w:w="92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
        <w:gridCol w:w="2178"/>
        <w:gridCol w:w="2578"/>
        <w:gridCol w:w="958"/>
        <w:gridCol w:w="2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 w:type="dxa"/>
          </w:tcPr>
          <w:p>
            <w:pPr>
              <w:jc w:val="center"/>
              <w:rPr>
                <w:rFonts w:hint="eastAsia" w:asciiTheme="minorEastAsia" w:hAnsiTheme="minorEastAsia" w:eastAsiaTheme="minorEastAsia"/>
                <w:b/>
                <w:bCs/>
                <w:sz w:val="24"/>
                <w:szCs w:val="24"/>
              </w:rPr>
            </w:pPr>
            <w:r>
              <w:rPr>
                <w:rFonts w:hint="eastAsia" w:asciiTheme="minorEastAsia" w:hAnsiTheme="minorEastAsia" w:eastAsiaTheme="minorEastAsia"/>
                <w:b/>
                <w:bCs/>
                <w:sz w:val="24"/>
                <w:szCs w:val="24"/>
              </w:rPr>
              <w:t>序号</w:t>
            </w:r>
          </w:p>
        </w:tc>
        <w:tc>
          <w:tcPr>
            <w:tcW w:w="2178" w:type="dxa"/>
          </w:tcPr>
          <w:p>
            <w:pPr>
              <w:jc w:val="center"/>
              <w:rPr>
                <w:rFonts w:hint="eastAsia" w:asciiTheme="minorEastAsia" w:hAnsiTheme="minorEastAsia" w:eastAsiaTheme="minorEastAsia"/>
                <w:b/>
                <w:bCs/>
                <w:sz w:val="24"/>
                <w:szCs w:val="24"/>
              </w:rPr>
            </w:pPr>
            <w:r>
              <w:rPr>
                <w:rFonts w:hint="eastAsia" w:asciiTheme="minorEastAsia" w:hAnsiTheme="minorEastAsia" w:eastAsiaTheme="minorEastAsia"/>
                <w:b/>
                <w:bCs/>
                <w:sz w:val="24"/>
                <w:szCs w:val="24"/>
              </w:rPr>
              <w:t>名称</w:t>
            </w:r>
          </w:p>
        </w:tc>
        <w:tc>
          <w:tcPr>
            <w:tcW w:w="2578" w:type="dxa"/>
          </w:tcPr>
          <w:p>
            <w:pPr>
              <w:jc w:val="center"/>
              <w:rPr>
                <w:rFonts w:hint="eastAsia" w:asciiTheme="minorEastAsia" w:hAnsiTheme="minorEastAsia" w:eastAsiaTheme="minorEastAsia"/>
                <w:b/>
                <w:bCs/>
                <w:sz w:val="24"/>
                <w:szCs w:val="24"/>
              </w:rPr>
            </w:pPr>
            <w:r>
              <w:rPr>
                <w:rFonts w:hint="eastAsia" w:asciiTheme="minorEastAsia" w:hAnsiTheme="minorEastAsia" w:eastAsiaTheme="minorEastAsia"/>
                <w:b/>
                <w:bCs/>
                <w:sz w:val="24"/>
                <w:szCs w:val="24"/>
              </w:rPr>
              <w:t>规格型号</w:t>
            </w:r>
          </w:p>
        </w:tc>
        <w:tc>
          <w:tcPr>
            <w:tcW w:w="958" w:type="dxa"/>
          </w:tcPr>
          <w:p>
            <w:pPr>
              <w:jc w:val="center"/>
              <w:rPr>
                <w:rFonts w:hint="eastAsia" w:asciiTheme="minorEastAsia" w:hAnsiTheme="minorEastAsia" w:eastAsiaTheme="minorEastAsia"/>
                <w:b/>
                <w:bCs/>
                <w:sz w:val="24"/>
                <w:szCs w:val="24"/>
              </w:rPr>
            </w:pPr>
            <w:r>
              <w:rPr>
                <w:rFonts w:hint="eastAsia" w:asciiTheme="minorEastAsia" w:hAnsiTheme="minorEastAsia" w:eastAsiaTheme="minorEastAsia"/>
                <w:b/>
                <w:bCs/>
                <w:sz w:val="24"/>
                <w:szCs w:val="24"/>
              </w:rPr>
              <w:t>数量</w:t>
            </w:r>
          </w:p>
        </w:tc>
        <w:tc>
          <w:tcPr>
            <w:tcW w:w="2568" w:type="dxa"/>
          </w:tcPr>
          <w:p>
            <w:pPr>
              <w:jc w:val="center"/>
              <w:rPr>
                <w:rFonts w:hint="eastAsia" w:asciiTheme="minorEastAsia" w:hAnsiTheme="minorEastAsia" w:eastAsiaTheme="minorEastAsia"/>
                <w:b/>
                <w:bCs/>
                <w:sz w:val="24"/>
                <w:szCs w:val="24"/>
              </w:rPr>
            </w:pPr>
            <w:r>
              <w:rPr>
                <w:rFonts w:hint="eastAsia" w:asciiTheme="minorEastAsia" w:hAnsiTheme="minorEastAsia" w:eastAsiaTheme="minorEastAsia"/>
                <w:b/>
                <w:bCs/>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992" w:type="dxa"/>
            <w:vAlign w:val="center"/>
          </w:tcPr>
          <w:p>
            <w:pPr>
              <w:jc w:val="center"/>
              <w:rPr>
                <w:rFonts w:hint="eastAsia"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2178" w:type="dxa"/>
            <w:vAlign w:val="center"/>
          </w:tcPr>
          <w:p>
            <w:pPr>
              <w:jc w:val="left"/>
              <w:rPr>
                <w:rFonts w:hint="eastAsia" w:asciiTheme="minorEastAsia" w:hAnsiTheme="minorEastAsia" w:eastAsiaTheme="minorEastAsia"/>
                <w:sz w:val="24"/>
                <w:szCs w:val="24"/>
              </w:rPr>
            </w:pPr>
          </w:p>
        </w:tc>
        <w:tc>
          <w:tcPr>
            <w:tcW w:w="2578" w:type="dxa"/>
            <w:vAlign w:val="center"/>
          </w:tcPr>
          <w:p>
            <w:pPr>
              <w:jc w:val="left"/>
              <w:rPr>
                <w:rFonts w:hint="eastAsia" w:asciiTheme="minorEastAsia" w:hAnsiTheme="minorEastAsia" w:eastAsiaTheme="minorEastAsia"/>
                <w:sz w:val="24"/>
                <w:szCs w:val="24"/>
              </w:rPr>
            </w:pPr>
          </w:p>
        </w:tc>
        <w:tc>
          <w:tcPr>
            <w:tcW w:w="958" w:type="dxa"/>
            <w:vAlign w:val="center"/>
          </w:tcPr>
          <w:p>
            <w:pPr>
              <w:jc w:val="center"/>
              <w:rPr>
                <w:rFonts w:hint="eastAsia" w:asciiTheme="minorEastAsia" w:hAnsiTheme="minorEastAsia" w:eastAsiaTheme="minorEastAsia"/>
                <w:sz w:val="24"/>
                <w:szCs w:val="24"/>
              </w:rPr>
            </w:pPr>
          </w:p>
        </w:tc>
        <w:tc>
          <w:tcPr>
            <w:tcW w:w="2568" w:type="dxa"/>
            <w:vAlign w:val="center"/>
          </w:tcPr>
          <w:p>
            <w:pPr>
              <w:jc w:val="center"/>
              <w:rPr>
                <w:rFonts w:hint="eastAsia" w:cs="宋体"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992" w:type="dxa"/>
            <w:vAlign w:val="center"/>
          </w:tcPr>
          <w:p>
            <w:pPr>
              <w:jc w:val="center"/>
              <w:rPr>
                <w:rFonts w:hint="eastAsia" w:asciiTheme="minorEastAsia" w:hAnsiTheme="minorEastAsia" w:eastAsiaTheme="minorEastAsia"/>
                <w:sz w:val="24"/>
                <w:szCs w:val="24"/>
              </w:rPr>
            </w:pPr>
            <w:r>
              <w:rPr>
                <w:rFonts w:asciiTheme="minorEastAsia" w:hAnsiTheme="minorEastAsia" w:eastAsiaTheme="minorEastAsia"/>
                <w:sz w:val="24"/>
                <w:szCs w:val="24"/>
              </w:rPr>
              <w:t>2</w:t>
            </w:r>
          </w:p>
        </w:tc>
        <w:tc>
          <w:tcPr>
            <w:tcW w:w="2178" w:type="dxa"/>
            <w:vAlign w:val="center"/>
          </w:tcPr>
          <w:p>
            <w:pPr>
              <w:jc w:val="left"/>
              <w:rPr>
                <w:rFonts w:hint="eastAsia" w:asciiTheme="minorEastAsia" w:hAnsiTheme="minorEastAsia" w:eastAsiaTheme="minorEastAsia"/>
                <w:sz w:val="24"/>
                <w:szCs w:val="24"/>
              </w:rPr>
            </w:pPr>
          </w:p>
        </w:tc>
        <w:tc>
          <w:tcPr>
            <w:tcW w:w="2578" w:type="dxa"/>
            <w:vAlign w:val="center"/>
          </w:tcPr>
          <w:p>
            <w:pPr>
              <w:jc w:val="left"/>
              <w:rPr>
                <w:rFonts w:hint="eastAsia" w:asciiTheme="minorEastAsia" w:hAnsiTheme="minorEastAsia" w:eastAsiaTheme="minorEastAsia"/>
                <w:sz w:val="24"/>
                <w:szCs w:val="24"/>
              </w:rPr>
            </w:pPr>
          </w:p>
        </w:tc>
        <w:tc>
          <w:tcPr>
            <w:tcW w:w="958" w:type="dxa"/>
            <w:vAlign w:val="center"/>
          </w:tcPr>
          <w:p>
            <w:pPr>
              <w:jc w:val="center"/>
              <w:rPr>
                <w:rFonts w:hint="eastAsia" w:asciiTheme="minorEastAsia" w:hAnsiTheme="minorEastAsia" w:eastAsiaTheme="minorEastAsia"/>
                <w:sz w:val="24"/>
                <w:szCs w:val="24"/>
              </w:rPr>
            </w:pPr>
          </w:p>
        </w:tc>
        <w:tc>
          <w:tcPr>
            <w:tcW w:w="2568" w:type="dxa"/>
            <w:vAlign w:val="center"/>
          </w:tcPr>
          <w:p>
            <w:pPr>
              <w:jc w:val="center"/>
              <w:rPr>
                <w:rFonts w:hint="eastAsia"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992" w:type="dxa"/>
            <w:vAlign w:val="center"/>
          </w:tcPr>
          <w:p>
            <w:pPr>
              <w:jc w:val="center"/>
              <w:rPr>
                <w:rFonts w:hint="eastAsia" w:asciiTheme="minorEastAsia" w:hAnsiTheme="minorEastAsia" w:eastAsiaTheme="minorEastAsia"/>
                <w:sz w:val="24"/>
                <w:szCs w:val="24"/>
              </w:rPr>
            </w:pPr>
            <w:r>
              <w:rPr>
                <w:rFonts w:asciiTheme="minorEastAsia" w:hAnsiTheme="minorEastAsia" w:eastAsiaTheme="minorEastAsia"/>
                <w:sz w:val="24"/>
                <w:szCs w:val="24"/>
              </w:rPr>
              <w:t>3</w:t>
            </w:r>
          </w:p>
        </w:tc>
        <w:tc>
          <w:tcPr>
            <w:tcW w:w="2178" w:type="dxa"/>
            <w:vAlign w:val="center"/>
          </w:tcPr>
          <w:p>
            <w:pPr>
              <w:jc w:val="left"/>
              <w:rPr>
                <w:rFonts w:hint="eastAsia" w:asciiTheme="minorEastAsia" w:hAnsiTheme="minorEastAsia" w:eastAsiaTheme="minorEastAsia"/>
                <w:sz w:val="24"/>
                <w:szCs w:val="24"/>
              </w:rPr>
            </w:pPr>
          </w:p>
        </w:tc>
        <w:tc>
          <w:tcPr>
            <w:tcW w:w="2578" w:type="dxa"/>
            <w:vAlign w:val="center"/>
          </w:tcPr>
          <w:p>
            <w:pPr>
              <w:jc w:val="left"/>
              <w:rPr>
                <w:rFonts w:hint="eastAsia" w:asciiTheme="minorEastAsia" w:hAnsiTheme="minorEastAsia" w:eastAsiaTheme="minorEastAsia"/>
                <w:sz w:val="24"/>
                <w:szCs w:val="24"/>
              </w:rPr>
            </w:pPr>
          </w:p>
        </w:tc>
        <w:tc>
          <w:tcPr>
            <w:tcW w:w="958" w:type="dxa"/>
            <w:vAlign w:val="center"/>
          </w:tcPr>
          <w:p>
            <w:pPr>
              <w:jc w:val="center"/>
              <w:rPr>
                <w:rFonts w:hint="eastAsia" w:asciiTheme="minorEastAsia" w:hAnsiTheme="minorEastAsia" w:eastAsiaTheme="minorEastAsia"/>
                <w:sz w:val="24"/>
                <w:szCs w:val="24"/>
              </w:rPr>
            </w:pPr>
          </w:p>
        </w:tc>
        <w:tc>
          <w:tcPr>
            <w:tcW w:w="2568" w:type="dxa"/>
            <w:vAlign w:val="center"/>
          </w:tcPr>
          <w:p>
            <w:pPr>
              <w:jc w:val="center"/>
              <w:rPr>
                <w:rFonts w:hint="eastAsia"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992" w:type="dxa"/>
            <w:vAlign w:val="center"/>
          </w:tcPr>
          <w:p>
            <w:pPr>
              <w:jc w:val="center"/>
              <w:rPr>
                <w:rFonts w:hint="eastAsia" w:asciiTheme="minorEastAsia" w:hAnsiTheme="minorEastAsia" w:eastAsiaTheme="minorEastAsia"/>
                <w:sz w:val="24"/>
                <w:szCs w:val="24"/>
              </w:rPr>
            </w:pPr>
            <w:r>
              <w:rPr>
                <w:rFonts w:asciiTheme="minorEastAsia" w:hAnsiTheme="minorEastAsia" w:eastAsiaTheme="minorEastAsia"/>
                <w:sz w:val="24"/>
                <w:szCs w:val="24"/>
              </w:rPr>
              <w:t>4</w:t>
            </w:r>
          </w:p>
        </w:tc>
        <w:tc>
          <w:tcPr>
            <w:tcW w:w="2178" w:type="dxa"/>
            <w:vAlign w:val="center"/>
          </w:tcPr>
          <w:p>
            <w:pPr>
              <w:jc w:val="left"/>
              <w:rPr>
                <w:rFonts w:hint="eastAsia" w:asciiTheme="minorEastAsia" w:hAnsiTheme="minorEastAsia" w:eastAsiaTheme="minorEastAsia"/>
                <w:sz w:val="24"/>
                <w:szCs w:val="24"/>
              </w:rPr>
            </w:pPr>
          </w:p>
        </w:tc>
        <w:tc>
          <w:tcPr>
            <w:tcW w:w="2578" w:type="dxa"/>
            <w:vAlign w:val="center"/>
          </w:tcPr>
          <w:p>
            <w:pPr>
              <w:jc w:val="left"/>
              <w:rPr>
                <w:rFonts w:hint="eastAsia" w:asciiTheme="minorEastAsia" w:hAnsiTheme="minorEastAsia" w:eastAsiaTheme="minorEastAsia"/>
                <w:sz w:val="24"/>
                <w:szCs w:val="24"/>
              </w:rPr>
            </w:pPr>
          </w:p>
        </w:tc>
        <w:tc>
          <w:tcPr>
            <w:tcW w:w="958" w:type="dxa"/>
            <w:vAlign w:val="center"/>
          </w:tcPr>
          <w:p>
            <w:pPr>
              <w:jc w:val="center"/>
              <w:rPr>
                <w:rFonts w:hint="eastAsia" w:asciiTheme="minorEastAsia" w:hAnsiTheme="minorEastAsia" w:eastAsiaTheme="minorEastAsia"/>
                <w:sz w:val="24"/>
                <w:szCs w:val="24"/>
              </w:rPr>
            </w:pPr>
          </w:p>
        </w:tc>
        <w:tc>
          <w:tcPr>
            <w:tcW w:w="2568" w:type="dxa"/>
            <w:vAlign w:val="center"/>
          </w:tcPr>
          <w:p>
            <w:pPr>
              <w:jc w:val="center"/>
              <w:rPr>
                <w:rFonts w:hint="eastAsia"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992" w:type="dxa"/>
            <w:vAlign w:val="center"/>
          </w:tcPr>
          <w:p>
            <w:pPr>
              <w:jc w:val="center"/>
              <w:rPr>
                <w:rFonts w:hint="eastAsia" w:asciiTheme="minorEastAsia" w:hAnsiTheme="minorEastAsia" w:eastAsiaTheme="minorEastAsia"/>
                <w:sz w:val="24"/>
                <w:szCs w:val="24"/>
              </w:rPr>
            </w:pPr>
            <w:r>
              <w:rPr>
                <w:rFonts w:asciiTheme="minorEastAsia" w:hAnsiTheme="minorEastAsia" w:eastAsiaTheme="minorEastAsia"/>
                <w:sz w:val="24"/>
                <w:szCs w:val="24"/>
              </w:rPr>
              <w:t>5</w:t>
            </w:r>
          </w:p>
        </w:tc>
        <w:tc>
          <w:tcPr>
            <w:tcW w:w="2178" w:type="dxa"/>
            <w:vAlign w:val="center"/>
          </w:tcPr>
          <w:p>
            <w:pPr>
              <w:jc w:val="left"/>
              <w:rPr>
                <w:rFonts w:hint="eastAsia" w:asciiTheme="minorEastAsia" w:hAnsiTheme="minorEastAsia" w:eastAsiaTheme="minorEastAsia"/>
                <w:sz w:val="24"/>
                <w:szCs w:val="24"/>
              </w:rPr>
            </w:pPr>
          </w:p>
        </w:tc>
        <w:tc>
          <w:tcPr>
            <w:tcW w:w="2578" w:type="dxa"/>
            <w:vAlign w:val="center"/>
          </w:tcPr>
          <w:p>
            <w:pPr>
              <w:jc w:val="left"/>
              <w:rPr>
                <w:rFonts w:hint="eastAsia" w:asciiTheme="minorEastAsia" w:hAnsiTheme="minorEastAsia" w:eastAsiaTheme="minorEastAsia"/>
                <w:sz w:val="24"/>
                <w:szCs w:val="24"/>
              </w:rPr>
            </w:pPr>
          </w:p>
        </w:tc>
        <w:tc>
          <w:tcPr>
            <w:tcW w:w="958" w:type="dxa"/>
            <w:vAlign w:val="center"/>
          </w:tcPr>
          <w:p>
            <w:pPr>
              <w:jc w:val="center"/>
              <w:rPr>
                <w:rFonts w:hint="eastAsia" w:asciiTheme="minorEastAsia" w:hAnsiTheme="minorEastAsia" w:eastAsiaTheme="minorEastAsia"/>
                <w:sz w:val="24"/>
                <w:szCs w:val="24"/>
              </w:rPr>
            </w:pPr>
          </w:p>
        </w:tc>
        <w:tc>
          <w:tcPr>
            <w:tcW w:w="2568" w:type="dxa"/>
            <w:vAlign w:val="center"/>
          </w:tcPr>
          <w:p>
            <w:pPr>
              <w:jc w:val="center"/>
              <w:rPr>
                <w:rFonts w:hint="eastAsia"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992" w:type="dxa"/>
            <w:vAlign w:val="center"/>
          </w:tcPr>
          <w:p>
            <w:pPr>
              <w:jc w:val="center"/>
              <w:rPr>
                <w:rFonts w:hint="eastAsia" w:asciiTheme="minorEastAsia" w:hAnsiTheme="minorEastAsia" w:eastAsiaTheme="minorEastAsia"/>
                <w:sz w:val="24"/>
                <w:szCs w:val="24"/>
              </w:rPr>
            </w:pPr>
            <w:r>
              <w:rPr>
                <w:rFonts w:asciiTheme="minorEastAsia" w:hAnsiTheme="minorEastAsia" w:eastAsiaTheme="minorEastAsia"/>
                <w:sz w:val="24"/>
                <w:szCs w:val="24"/>
              </w:rPr>
              <w:t>6</w:t>
            </w:r>
          </w:p>
        </w:tc>
        <w:tc>
          <w:tcPr>
            <w:tcW w:w="2178" w:type="dxa"/>
            <w:vAlign w:val="center"/>
          </w:tcPr>
          <w:p>
            <w:pPr>
              <w:jc w:val="left"/>
              <w:rPr>
                <w:rFonts w:hint="eastAsia" w:asciiTheme="minorEastAsia" w:hAnsiTheme="minorEastAsia" w:eastAsiaTheme="minorEastAsia"/>
                <w:sz w:val="24"/>
                <w:szCs w:val="24"/>
              </w:rPr>
            </w:pPr>
          </w:p>
        </w:tc>
        <w:tc>
          <w:tcPr>
            <w:tcW w:w="2578" w:type="dxa"/>
            <w:vAlign w:val="center"/>
          </w:tcPr>
          <w:p>
            <w:pPr>
              <w:jc w:val="left"/>
              <w:rPr>
                <w:rFonts w:hint="eastAsia" w:asciiTheme="minorEastAsia" w:hAnsiTheme="minorEastAsia" w:eastAsiaTheme="minorEastAsia"/>
                <w:sz w:val="24"/>
                <w:szCs w:val="24"/>
              </w:rPr>
            </w:pPr>
          </w:p>
        </w:tc>
        <w:tc>
          <w:tcPr>
            <w:tcW w:w="958" w:type="dxa"/>
            <w:vAlign w:val="center"/>
          </w:tcPr>
          <w:p>
            <w:pPr>
              <w:jc w:val="center"/>
              <w:rPr>
                <w:rFonts w:hint="eastAsia" w:asciiTheme="minorEastAsia" w:hAnsiTheme="minorEastAsia" w:eastAsiaTheme="minorEastAsia"/>
                <w:sz w:val="24"/>
                <w:szCs w:val="24"/>
              </w:rPr>
            </w:pPr>
          </w:p>
        </w:tc>
        <w:tc>
          <w:tcPr>
            <w:tcW w:w="2568" w:type="dxa"/>
            <w:vAlign w:val="center"/>
          </w:tcPr>
          <w:p>
            <w:pPr>
              <w:jc w:val="center"/>
              <w:rPr>
                <w:rFonts w:hint="eastAsia" w:asciiTheme="minorEastAsia" w:hAnsiTheme="minorEastAsia" w:eastAsiaTheme="minorEastAsia"/>
                <w:sz w:val="24"/>
                <w:szCs w:val="24"/>
              </w:rPr>
            </w:pPr>
          </w:p>
        </w:tc>
      </w:tr>
    </w:tbl>
    <w:p>
      <w:pPr>
        <w:jc w:val="center"/>
        <w:rPr>
          <w:rFonts w:hint="eastAsia" w:asciiTheme="minorEastAsia" w:hAnsiTheme="minorEastAsia" w:eastAsiaTheme="minorEastAsia"/>
          <w:b/>
          <w:color w:val="000000"/>
          <w:sz w:val="24"/>
          <w:szCs w:val="24"/>
        </w:rPr>
      </w:pPr>
      <w:r>
        <w:rPr>
          <w:rFonts w:asciiTheme="minorEastAsia" w:hAnsiTheme="minorEastAsia" w:eastAsiaTheme="minorEastAsia"/>
          <w:b/>
          <w:color w:val="000000"/>
          <w:sz w:val="24"/>
          <w:szCs w:val="24"/>
        </w:rPr>
        <w:t>表</w:t>
      </w:r>
      <w:r>
        <w:rPr>
          <w:rFonts w:hint="eastAsia" w:asciiTheme="minorEastAsia" w:hAnsiTheme="minorEastAsia" w:eastAsiaTheme="minorEastAsia"/>
          <w:b/>
          <w:color w:val="000000"/>
          <w:sz w:val="24"/>
          <w:szCs w:val="24"/>
        </w:rPr>
        <w:t>二 两年内易损件</w:t>
      </w:r>
      <w:r>
        <w:rPr>
          <w:rFonts w:asciiTheme="minorEastAsia" w:hAnsiTheme="minorEastAsia" w:eastAsiaTheme="minorEastAsia"/>
          <w:b/>
          <w:color w:val="000000"/>
          <w:sz w:val="24"/>
          <w:szCs w:val="24"/>
        </w:rPr>
        <w:t>清单</w:t>
      </w:r>
    </w:p>
    <w:tbl>
      <w:tblPr>
        <w:tblStyle w:val="15"/>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1231"/>
        <w:gridCol w:w="1320"/>
        <w:gridCol w:w="1418"/>
        <w:gridCol w:w="850"/>
        <w:gridCol w:w="992"/>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exact"/>
          <w:tblHeader/>
          <w:jc w:val="center"/>
        </w:trPr>
        <w:tc>
          <w:tcPr>
            <w:tcW w:w="988" w:type="dxa"/>
            <w:vAlign w:val="center"/>
          </w:tcPr>
          <w:p>
            <w:pPr>
              <w:pStyle w:val="36"/>
              <w:rPr>
                <w:rFonts w:hint="eastAsia" w:asciiTheme="minorEastAsia" w:hAnsiTheme="minorEastAsia" w:eastAsiaTheme="minorEastAsia"/>
                <w:color w:val="000000"/>
                <w:sz w:val="24"/>
                <w:szCs w:val="24"/>
              </w:rPr>
            </w:pPr>
            <w:r>
              <w:rPr>
                <w:rFonts w:asciiTheme="minorEastAsia" w:hAnsiTheme="minorEastAsia" w:eastAsiaTheme="minorEastAsia"/>
                <w:color w:val="000000"/>
                <w:sz w:val="24"/>
                <w:szCs w:val="24"/>
              </w:rPr>
              <w:t>序号</w:t>
            </w:r>
          </w:p>
        </w:tc>
        <w:tc>
          <w:tcPr>
            <w:tcW w:w="1231" w:type="dxa"/>
            <w:vAlign w:val="center"/>
          </w:tcPr>
          <w:p>
            <w:pPr>
              <w:pStyle w:val="36"/>
              <w:rPr>
                <w:rFonts w:hint="eastAsia"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备件名称</w:t>
            </w:r>
          </w:p>
        </w:tc>
        <w:tc>
          <w:tcPr>
            <w:tcW w:w="1320" w:type="dxa"/>
            <w:vAlign w:val="center"/>
          </w:tcPr>
          <w:p>
            <w:pPr>
              <w:pStyle w:val="36"/>
              <w:rPr>
                <w:rFonts w:hint="eastAsia"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型号</w:t>
            </w:r>
          </w:p>
        </w:tc>
        <w:tc>
          <w:tcPr>
            <w:tcW w:w="1418" w:type="dxa"/>
            <w:vAlign w:val="center"/>
          </w:tcPr>
          <w:p>
            <w:pPr>
              <w:pStyle w:val="36"/>
              <w:rPr>
                <w:rFonts w:hint="eastAsia"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规格参数</w:t>
            </w:r>
          </w:p>
        </w:tc>
        <w:tc>
          <w:tcPr>
            <w:tcW w:w="850" w:type="dxa"/>
            <w:vAlign w:val="center"/>
          </w:tcPr>
          <w:p>
            <w:pPr>
              <w:pStyle w:val="36"/>
              <w:rPr>
                <w:rFonts w:hint="eastAsia"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数量</w:t>
            </w:r>
          </w:p>
        </w:tc>
        <w:tc>
          <w:tcPr>
            <w:tcW w:w="992" w:type="dxa"/>
            <w:vAlign w:val="center"/>
          </w:tcPr>
          <w:p>
            <w:pPr>
              <w:pStyle w:val="36"/>
              <w:rPr>
                <w:rFonts w:hint="eastAsia"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 xml:space="preserve">单位 </w:t>
            </w:r>
          </w:p>
        </w:tc>
        <w:tc>
          <w:tcPr>
            <w:tcW w:w="1134" w:type="dxa"/>
            <w:vAlign w:val="center"/>
          </w:tcPr>
          <w:p>
            <w:pPr>
              <w:pStyle w:val="36"/>
              <w:rPr>
                <w:rFonts w:hint="eastAsia"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单价（元）</w:t>
            </w:r>
          </w:p>
        </w:tc>
        <w:tc>
          <w:tcPr>
            <w:tcW w:w="1134" w:type="dxa"/>
            <w:vAlign w:val="center"/>
          </w:tcPr>
          <w:p>
            <w:pPr>
              <w:pStyle w:val="36"/>
              <w:rPr>
                <w:rFonts w:hint="eastAsia"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88" w:type="dxa"/>
            <w:vAlign w:val="center"/>
          </w:tcPr>
          <w:p>
            <w:pPr>
              <w:pStyle w:val="35"/>
              <w:jc w:val="center"/>
              <w:rPr>
                <w:rFonts w:hint="eastAsia"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w:t>
            </w:r>
          </w:p>
        </w:tc>
        <w:tc>
          <w:tcPr>
            <w:tcW w:w="1231" w:type="dxa"/>
            <w:vAlign w:val="center"/>
          </w:tcPr>
          <w:p>
            <w:pPr>
              <w:pStyle w:val="35"/>
              <w:jc w:val="both"/>
              <w:rPr>
                <w:rFonts w:hint="eastAsia" w:asciiTheme="minorEastAsia" w:hAnsiTheme="minorEastAsia" w:eastAsiaTheme="minorEastAsia"/>
                <w:color w:val="000000"/>
                <w:sz w:val="24"/>
                <w:szCs w:val="24"/>
              </w:rPr>
            </w:pPr>
          </w:p>
        </w:tc>
        <w:tc>
          <w:tcPr>
            <w:tcW w:w="1320" w:type="dxa"/>
            <w:vAlign w:val="center"/>
          </w:tcPr>
          <w:p>
            <w:pPr>
              <w:pStyle w:val="35"/>
              <w:jc w:val="center"/>
              <w:rPr>
                <w:rFonts w:hint="eastAsia" w:asciiTheme="minorEastAsia" w:hAnsiTheme="minorEastAsia" w:eastAsiaTheme="minorEastAsia"/>
                <w:color w:val="000000"/>
                <w:sz w:val="24"/>
                <w:szCs w:val="24"/>
              </w:rPr>
            </w:pPr>
          </w:p>
        </w:tc>
        <w:tc>
          <w:tcPr>
            <w:tcW w:w="1418" w:type="dxa"/>
            <w:vAlign w:val="center"/>
          </w:tcPr>
          <w:p>
            <w:pPr>
              <w:pStyle w:val="35"/>
              <w:jc w:val="center"/>
              <w:rPr>
                <w:rFonts w:hint="eastAsia" w:asciiTheme="minorEastAsia" w:hAnsiTheme="minorEastAsia" w:eastAsiaTheme="minorEastAsia"/>
                <w:color w:val="000000"/>
                <w:sz w:val="24"/>
                <w:szCs w:val="24"/>
              </w:rPr>
            </w:pPr>
          </w:p>
        </w:tc>
        <w:tc>
          <w:tcPr>
            <w:tcW w:w="850" w:type="dxa"/>
            <w:vAlign w:val="center"/>
          </w:tcPr>
          <w:p>
            <w:pPr>
              <w:pStyle w:val="35"/>
              <w:jc w:val="center"/>
              <w:rPr>
                <w:rFonts w:hint="eastAsia" w:asciiTheme="minorEastAsia" w:hAnsiTheme="minorEastAsia" w:eastAsiaTheme="minorEastAsia"/>
                <w:color w:val="000000"/>
                <w:sz w:val="24"/>
                <w:szCs w:val="24"/>
              </w:rPr>
            </w:pPr>
          </w:p>
        </w:tc>
        <w:tc>
          <w:tcPr>
            <w:tcW w:w="992" w:type="dxa"/>
            <w:vAlign w:val="center"/>
          </w:tcPr>
          <w:p>
            <w:pPr>
              <w:pStyle w:val="35"/>
              <w:jc w:val="center"/>
              <w:rPr>
                <w:rFonts w:hint="eastAsia" w:asciiTheme="minorEastAsia" w:hAnsiTheme="minorEastAsia" w:eastAsiaTheme="minorEastAsia"/>
                <w:color w:val="000000"/>
                <w:sz w:val="24"/>
                <w:szCs w:val="24"/>
              </w:rPr>
            </w:pPr>
          </w:p>
        </w:tc>
        <w:tc>
          <w:tcPr>
            <w:tcW w:w="1134" w:type="dxa"/>
            <w:vAlign w:val="center"/>
          </w:tcPr>
          <w:p>
            <w:pPr>
              <w:pStyle w:val="35"/>
              <w:jc w:val="center"/>
              <w:rPr>
                <w:rFonts w:hint="eastAsia" w:asciiTheme="minorEastAsia" w:hAnsiTheme="minorEastAsia" w:eastAsiaTheme="minorEastAsia"/>
                <w:color w:val="000000"/>
                <w:sz w:val="24"/>
                <w:szCs w:val="24"/>
              </w:rPr>
            </w:pPr>
          </w:p>
        </w:tc>
        <w:tc>
          <w:tcPr>
            <w:tcW w:w="1134" w:type="dxa"/>
            <w:vAlign w:val="center"/>
          </w:tcPr>
          <w:p>
            <w:pPr>
              <w:pStyle w:val="35"/>
              <w:jc w:val="center"/>
              <w:rPr>
                <w:rFonts w:hint="eastAsia" w:asciiTheme="minorEastAsia" w:hAnsiTheme="minorEastAsia" w:eastAsiaTheme="minorEastAsia"/>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88" w:type="dxa"/>
            <w:vAlign w:val="center"/>
          </w:tcPr>
          <w:p>
            <w:pPr>
              <w:pStyle w:val="35"/>
              <w:jc w:val="center"/>
              <w:rPr>
                <w:rFonts w:hint="eastAsia"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w:t>
            </w:r>
          </w:p>
        </w:tc>
        <w:tc>
          <w:tcPr>
            <w:tcW w:w="1231" w:type="dxa"/>
            <w:vAlign w:val="center"/>
          </w:tcPr>
          <w:p>
            <w:pPr>
              <w:pStyle w:val="35"/>
              <w:jc w:val="center"/>
              <w:rPr>
                <w:rFonts w:hint="eastAsia" w:asciiTheme="minorEastAsia" w:hAnsiTheme="minorEastAsia" w:eastAsiaTheme="minorEastAsia"/>
                <w:color w:val="000000"/>
                <w:sz w:val="24"/>
                <w:szCs w:val="24"/>
              </w:rPr>
            </w:pPr>
          </w:p>
        </w:tc>
        <w:tc>
          <w:tcPr>
            <w:tcW w:w="1320" w:type="dxa"/>
            <w:vAlign w:val="center"/>
          </w:tcPr>
          <w:p>
            <w:pPr>
              <w:pStyle w:val="35"/>
              <w:jc w:val="center"/>
              <w:rPr>
                <w:rFonts w:hint="eastAsia" w:asciiTheme="minorEastAsia" w:hAnsiTheme="minorEastAsia" w:eastAsiaTheme="minorEastAsia"/>
                <w:color w:val="000000"/>
                <w:sz w:val="24"/>
                <w:szCs w:val="24"/>
              </w:rPr>
            </w:pPr>
          </w:p>
        </w:tc>
        <w:tc>
          <w:tcPr>
            <w:tcW w:w="1418" w:type="dxa"/>
            <w:vAlign w:val="center"/>
          </w:tcPr>
          <w:p>
            <w:pPr>
              <w:pStyle w:val="35"/>
              <w:jc w:val="center"/>
              <w:rPr>
                <w:rFonts w:hint="eastAsia" w:asciiTheme="minorEastAsia" w:hAnsiTheme="minorEastAsia" w:eastAsiaTheme="minorEastAsia"/>
                <w:color w:val="000000"/>
                <w:sz w:val="24"/>
                <w:szCs w:val="24"/>
              </w:rPr>
            </w:pPr>
          </w:p>
        </w:tc>
        <w:tc>
          <w:tcPr>
            <w:tcW w:w="850" w:type="dxa"/>
            <w:vAlign w:val="center"/>
          </w:tcPr>
          <w:p>
            <w:pPr>
              <w:pStyle w:val="35"/>
              <w:jc w:val="center"/>
              <w:rPr>
                <w:rFonts w:hint="eastAsia" w:asciiTheme="minorEastAsia" w:hAnsiTheme="minorEastAsia" w:eastAsiaTheme="minorEastAsia"/>
                <w:color w:val="000000"/>
                <w:sz w:val="24"/>
                <w:szCs w:val="24"/>
              </w:rPr>
            </w:pPr>
          </w:p>
        </w:tc>
        <w:tc>
          <w:tcPr>
            <w:tcW w:w="992" w:type="dxa"/>
            <w:vAlign w:val="center"/>
          </w:tcPr>
          <w:p>
            <w:pPr>
              <w:pStyle w:val="35"/>
              <w:jc w:val="center"/>
              <w:rPr>
                <w:rFonts w:hint="eastAsia" w:asciiTheme="minorEastAsia" w:hAnsiTheme="minorEastAsia" w:eastAsiaTheme="minorEastAsia"/>
                <w:color w:val="000000"/>
                <w:sz w:val="24"/>
                <w:szCs w:val="24"/>
              </w:rPr>
            </w:pPr>
          </w:p>
        </w:tc>
        <w:tc>
          <w:tcPr>
            <w:tcW w:w="1134" w:type="dxa"/>
            <w:vAlign w:val="center"/>
          </w:tcPr>
          <w:p>
            <w:pPr>
              <w:pStyle w:val="35"/>
              <w:jc w:val="center"/>
              <w:rPr>
                <w:rFonts w:hint="eastAsia" w:asciiTheme="minorEastAsia" w:hAnsiTheme="minorEastAsia" w:eastAsiaTheme="minorEastAsia"/>
                <w:color w:val="000000"/>
                <w:sz w:val="24"/>
                <w:szCs w:val="24"/>
              </w:rPr>
            </w:pPr>
          </w:p>
        </w:tc>
        <w:tc>
          <w:tcPr>
            <w:tcW w:w="1134" w:type="dxa"/>
            <w:vAlign w:val="center"/>
          </w:tcPr>
          <w:p>
            <w:pPr>
              <w:pStyle w:val="35"/>
              <w:jc w:val="center"/>
              <w:rPr>
                <w:rFonts w:hint="eastAsia" w:asciiTheme="minorEastAsia" w:hAnsiTheme="minorEastAsia" w:eastAsiaTheme="minorEastAsia"/>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88" w:type="dxa"/>
            <w:vAlign w:val="center"/>
          </w:tcPr>
          <w:p>
            <w:pPr>
              <w:pStyle w:val="35"/>
              <w:jc w:val="center"/>
              <w:rPr>
                <w:rFonts w:hint="eastAsia"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3.</w:t>
            </w:r>
          </w:p>
        </w:tc>
        <w:tc>
          <w:tcPr>
            <w:tcW w:w="1231" w:type="dxa"/>
            <w:vAlign w:val="center"/>
          </w:tcPr>
          <w:p>
            <w:pPr>
              <w:pStyle w:val="35"/>
              <w:jc w:val="center"/>
              <w:rPr>
                <w:rFonts w:hint="eastAsia" w:asciiTheme="minorEastAsia" w:hAnsiTheme="minorEastAsia" w:eastAsiaTheme="minorEastAsia"/>
                <w:color w:val="000000"/>
                <w:sz w:val="24"/>
                <w:szCs w:val="24"/>
              </w:rPr>
            </w:pPr>
          </w:p>
        </w:tc>
        <w:tc>
          <w:tcPr>
            <w:tcW w:w="1320" w:type="dxa"/>
            <w:vAlign w:val="center"/>
          </w:tcPr>
          <w:p>
            <w:pPr>
              <w:pStyle w:val="35"/>
              <w:jc w:val="center"/>
              <w:rPr>
                <w:rFonts w:hint="eastAsia" w:asciiTheme="minorEastAsia" w:hAnsiTheme="minorEastAsia" w:eastAsiaTheme="minorEastAsia"/>
                <w:color w:val="000000"/>
                <w:sz w:val="24"/>
                <w:szCs w:val="24"/>
              </w:rPr>
            </w:pPr>
          </w:p>
        </w:tc>
        <w:tc>
          <w:tcPr>
            <w:tcW w:w="1418" w:type="dxa"/>
            <w:vAlign w:val="center"/>
          </w:tcPr>
          <w:p>
            <w:pPr>
              <w:pStyle w:val="35"/>
              <w:jc w:val="center"/>
              <w:rPr>
                <w:rFonts w:hint="eastAsia" w:asciiTheme="minorEastAsia" w:hAnsiTheme="minorEastAsia" w:eastAsiaTheme="minorEastAsia"/>
                <w:color w:val="000000"/>
                <w:sz w:val="24"/>
                <w:szCs w:val="24"/>
              </w:rPr>
            </w:pPr>
          </w:p>
        </w:tc>
        <w:tc>
          <w:tcPr>
            <w:tcW w:w="850" w:type="dxa"/>
            <w:vAlign w:val="center"/>
          </w:tcPr>
          <w:p>
            <w:pPr>
              <w:pStyle w:val="35"/>
              <w:jc w:val="center"/>
              <w:rPr>
                <w:rFonts w:hint="eastAsia" w:asciiTheme="minorEastAsia" w:hAnsiTheme="minorEastAsia" w:eastAsiaTheme="minorEastAsia"/>
                <w:color w:val="000000"/>
                <w:sz w:val="24"/>
                <w:szCs w:val="24"/>
              </w:rPr>
            </w:pPr>
          </w:p>
        </w:tc>
        <w:tc>
          <w:tcPr>
            <w:tcW w:w="992" w:type="dxa"/>
            <w:vAlign w:val="center"/>
          </w:tcPr>
          <w:p>
            <w:pPr>
              <w:pStyle w:val="35"/>
              <w:jc w:val="center"/>
              <w:rPr>
                <w:rFonts w:hint="eastAsia" w:asciiTheme="minorEastAsia" w:hAnsiTheme="minorEastAsia" w:eastAsiaTheme="minorEastAsia"/>
                <w:color w:val="000000"/>
                <w:sz w:val="24"/>
                <w:szCs w:val="24"/>
              </w:rPr>
            </w:pPr>
          </w:p>
        </w:tc>
        <w:tc>
          <w:tcPr>
            <w:tcW w:w="1134" w:type="dxa"/>
            <w:vAlign w:val="center"/>
          </w:tcPr>
          <w:p>
            <w:pPr>
              <w:pStyle w:val="35"/>
              <w:jc w:val="center"/>
              <w:rPr>
                <w:rFonts w:hint="eastAsia" w:asciiTheme="minorEastAsia" w:hAnsiTheme="minorEastAsia" w:eastAsiaTheme="minorEastAsia"/>
                <w:color w:val="000000"/>
                <w:sz w:val="24"/>
                <w:szCs w:val="24"/>
              </w:rPr>
            </w:pPr>
          </w:p>
        </w:tc>
        <w:tc>
          <w:tcPr>
            <w:tcW w:w="1134" w:type="dxa"/>
            <w:vAlign w:val="center"/>
          </w:tcPr>
          <w:p>
            <w:pPr>
              <w:pStyle w:val="35"/>
              <w:jc w:val="center"/>
              <w:rPr>
                <w:rFonts w:hint="eastAsia" w:asciiTheme="minorEastAsia" w:hAnsiTheme="minorEastAsia" w:eastAsiaTheme="minorEastAsia"/>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88" w:type="dxa"/>
            <w:vAlign w:val="center"/>
          </w:tcPr>
          <w:p>
            <w:pPr>
              <w:pStyle w:val="35"/>
              <w:jc w:val="center"/>
              <w:rPr>
                <w:rFonts w:hint="eastAsia"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4.</w:t>
            </w:r>
          </w:p>
        </w:tc>
        <w:tc>
          <w:tcPr>
            <w:tcW w:w="1231" w:type="dxa"/>
            <w:vAlign w:val="center"/>
          </w:tcPr>
          <w:p>
            <w:pPr>
              <w:pStyle w:val="35"/>
              <w:jc w:val="center"/>
              <w:rPr>
                <w:rFonts w:hint="eastAsia" w:asciiTheme="minorEastAsia" w:hAnsiTheme="minorEastAsia" w:eastAsiaTheme="minorEastAsia"/>
                <w:color w:val="000000"/>
                <w:sz w:val="24"/>
                <w:szCs w:val="24"/>
              </w:rPr>
            </w:pPr>
          </w:p>
        </w:tc>
        <w:tc>
          <w:tcPr>
            <w:tcW w:w="1320" w:type="dxa"/>
            <w:vAlign w:val="center"/>
          </w:tcPr>
          <w:p>
            <w:pPr>
              <w:pStyle w:val="35"/>
              <w:jc w:val="center"/>
              <w:rPr>
                <w:rFonts w:hint="eastAsia" w:asciiTheme="minorEastAsia" w:hAnsiTheme="minorEastAsia" w:eastAsiaTheme="minorEastAsia"/>
                <w:color w:val="000000"/>
                <w:sz w:val="24"/>
                <w:szCs w:val="24"/>
              </w:rPr>
            </w:pPr>
          </w:p>
        </w:tc>
        <w:tc>
          <w:tcPr>
            <w:tcW w:w="1418" w:type="dxa"/>
            <w:vAlign w:val="center"/>
          </w:tcPr>
          <w:p>
            <w:pPr>
              <w:pStyle w:val="35"/>
              <w:jc w:val="center"/>
              <w:rPr>
                <w:rFonts w:hint="eastAsia" w:asciiTheme="minorEastAsia" w:hAnsiTheme="minorEastAsia" w:eastAsiaTheme="minorEastAsia"/>
                <w:color w:val="000000"/>
                <w:sz w:val="24"/>
                <w:szCs w:val="24"/>
              </w:rPr>
            </w:pPr>
          </w:p>
        </w:tc>
        <w:tc>
          <w:tcPr>
            <w:tcW w:w="850" w:type="dxa"/>
            <w:vAlign w:val="center"/>
          </w:tcPr>
          <w:p>
            <w:pPr>
              <w:pStyle w:val="35"/>
              <w:jc w:val="center"/>
              <w:rPr>
                <w:rFonts w:hint="eastAsia" w:asciiTheme="minorEastAsia" w:hAnsiTheme="minorEastAsia" w:eastAsiaTheme="minorEastAsia"/>
                <w:color w:val="000000"/>
                <w:sz w:val="24"/>
                <w:szCs w:val="24"/>
              </w:rPr>
            </w:pPr>
          </w:p>
        </w:tc>
        <w:tc>
          <w:tcPr>
            <w:tcW w:w="992" w:type="dxa"/>
            <w:vAlign w:val="center"/>
          </w:tcPr>
          <w:p>
            <w:pPr>
              <w:pStyle w:val="35"/>
              <w:jc w:val="center"/>
              <w:rPr>
                <w:rFonts w:hint="eastAsia" w:asciiTheme="minorEastAsia" w:hAnsiTheme="minorEastAsia" w:eastAsiaTheme="minorEastAsia"/>
                <w:color w:val="000000"/>
                <w:sz w:val="24"/>
                <w:szCs w:val="24"/>
              </w:rPr>
            </w:pPr>
          </w:p>
        </w:tc>
        <w:tc>
          <w:tcPr>
            <w:tcW w:w="1134" w:type="dxa"/>
            <w:vAlign w:val="center"/>
          </w:tcPr>
          <w:p>
            <w:pPr>
              <w:pStyle w:val="35"/>
              <w:jc w:val="center"/>
              <w:rPr>
                <w:rFonts w:hint="eastAsia" w:asciiTheme="minorEastAsia" w:hAnsiTheme="minorEastAsia" w:eastAsiaTheme="minorEastAsia"/>
                <w:color w:val="000000"/>
                <w:sz w:val="24"/>
                <w:szCs w:val="24"/>
              </w:rPr>
            </w:pPr>
          </w:p>
        </w:tc>
        <w:tc>
          <w:tcPr>
            <w:tcW w:w="1134" w:type="dxa"/>
            <w:vAlign w:val="center"/>
          </w:tcPr>
          <w:p>
            <w:pPr>
              <w:pStyle w:val="35"/>
              <w:jc w:val="center"/>
              <w:rPr>
                <w:rFonts w:hint="eastAsia" w:asciiTheme="minorEastAsia" w:hAnsiTheme="minorEastAsia" w:eastAsiaTheme="minorEastAsia"/>
                <w:color w:val="000000"/>
                <w:sz w:val="24"/>
                <w:szCs w:val="24"/>
              </w:rPr>
            </w:pPr>
          </w:p>
        </w:tc>
      </w:tr>
    </w:tbl>
    <w:p>
      <w:pPr>
        <w:pStyle w:val="13"/>
        <w:ind w:left="720"/>
        <w:jc w:val="left"/>
        <w:rPr>
          <w:sz w:val="28"/>
          <w:szCs w:val="28"/>
        </w:rPr>
      </w:pPr>
    </w:p>
    <w:p>
      <w:pPr>
        <w:pStyle w:val="13"/>
        <w:numPr>
          <w:ilvl w:val="0"/>
          <w:numId w:val="1"/>
        </w:numPr>
        <w:jc w:val="left"/>
        <w:rPr>
          <w:sz w:val="28"/>
          <w:szCs w:val="28"/>
        </w:rPr>
      </w:pPr>
      <w:r>
        <w:rPr>
          <w:rFonts w:hint="eastAsia"/>
          <w:sz w:val="28"/>
          <w:szCs w:val="28"/>
        </w:rPr>
        <w:t>图纸(</w:t>
      </w:r>
      <w:r>
        <w:rPr>
          <w:sz w:val="28"/>
          <w:szCs w:val="28"/>
        </w:rPr>
        <w:t>另附</w:t>
      </w:r>
      <w:r>
        <w:rPr>
          <w:rFonts w:hint="eastAsia"/>
          <w:sz w:val="28"/>
          <w:szCs w:val="28"/>
        </w:rPr>
        <w:t>)</w:t>
      </w:r>
    </w:p>
    <w:p>
      <w:pPr>
        <w:pStyle w:val="19"/>
        <w:numPr>
          <w:ilvl w:val="0"/>
          <w:numId w:val="20"/>
        </w:numPr>
        <w:spacing w:before="240" w:beforeLines="100" w:line="360" w:lineRule="auto"/>
        <w:ind w:firstLineChars="0"/>
        <w:jc w:val="left"/>
      </w:pPr>
      <w:r>
        <w:rPr>
          <w:rFonts w:hint="eastAsia"/>
        </w:rPr>
        <w:t>乙方在甲方的设计提资图上进行设计，乙方完成各部件图的拆解细化，及优化、深化设计；</w:t>
      </w:r>
    </w:p>
    <w:p>
      <w:pPr>
        <w:pStyle w:val="19"/>
        <w:numPr>
          <w:ilvl w:val="0"/>
          <w:numId w:val="20"/>
        </w:numPr>
        <w:spacing w:before="240" w:beforeLines="100" w:line="360" w:lineRule="auto"/>
        <w:ind w:firstLineChars="0"/>
        <w:jc w:val="left"/>
      </w:pPr>
      <w:r>
        <w:rPr>
          <w:rFonts w:hint="eastAsia"/>
        </w:rPr>
        <w:t>以甲方提供的设计提资图作为设备验收图之一；主要双方确认及该协议进行验收；</w:t>
      </w:r>
    </w:p>
    <w:p>
      <w:pPr>
        <w:pStyle w:val="19"/>
        <w:numPr>
          <w:ilvl w:val="0"/>
          <w:numId w:val="20"/>
        </w:numPr>
        <w:spacing w:before="240" w:beforeLines="100" w:line="360" w:lineRule="auto"/>
        <w:ind w:firstLineChars="0"/>
        <w:jc w:val="left"/>
      </w:pPr>
      <w:r>
        <w:rPr>
          <w:rFonts w:hint="eastAsia" w:asciiTheme="minorEastAsia" w:hAnsiTheme="minorEastAsia" w:eastAsiaTheme="minorEastAsia" w:cstheme="minorEastAsia"/>
          <w:sz w:val="24"/>
        </w:rPr>
        <w:t>甲方提资设计图纸，乙方深化设计不得低于甲方提资深度及配置要求。</w:t>
      </w:r>
    </w:p>
    <w:p>
      <w:pPr>
        <w:pStyle w:val="19"/>
        <w:spacing w:before="240" w:beforeLines="100" w:line="360" w:lineRule="auto"/>
        <w:ind w:left="420" w:firstLine="0" w:firstLineChars="0"/>
        <w:jc w:val="righ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技术</w:t>
      </w:r>
      <w:r>
        <w:rPr>
          <w:rFonts w:asciiTheme="minorEastAsia" w:hAnsiTheme="minorEastAsia" w:eastAsiaTheme="minorEastAsia" w:cstheme="minorEastAsia"/>
          <w:sz w:val="24"/>
        </w:rPr>
        <w:t>联系人：徐江澜</w:t>
      </w:r>
    </w:p>
    <w:p>
      <w:pPr>
        <w:pStyle w:val="19"/>
        <w:spacing w:before="240" w:beforeLines="100" w:line="360" w:lineRule="auto"/>
        <w:ind w:left="420" w:firstLine="0" w:firstLineChars="0"/>
        <w:jc w:val="right"/>
      </w:pPr>
      <w:r>
        <w:rPr>
          <w:rFonts w:hint="eastAsia" w:asciiTheme="minorEastAsia" w:hAnsiTheme="minorEastAsia" w:eastAsiaTheme="minorEastAsia" w:cstheme="minorEastAsia"/>
          <w:sz w:val="24"/>
        </w:rPr>
        <w:t>联系</w:t>
      </w:r>
      <w:r>
        <w:rPr>
          <w:rFonts w:asciiTheme="minorEastAsia" w:hAnsiTheme="minorEastAsia" w:eastAsiaTheme="minorEastAsia" w:cstheme="minorEastAsia"/>
          <w:sz w:val="24"/>
        </w:rPr>
        <w:t>方式：</w:t>
      </w:r>
      <w:r>
        <w:rPr>
          <w:rFonts w:hint="eastAsia" w:asciiTheme="minorEastAsia" w:hAnsiTheme="minorEastAsia" w:eastAsiaTheme="minorEastAsia" w:cstheme="minorEastAsia"/>
          <w:sz w:val="24"/>
        </w:rPr>
        <w:t>13027988347</w:t>
      </w:r>
    </w:p>
    <w:sectPr>
      <w:footerReference r:id="rId3" w:type="default"/>
      <w:pgSz w:w="11906" w:h="16838"/>
      <w:pgMar w:top="1276" w:right="1418" w:bottom="1559" w:left="1418"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Kingsoft Confetti">
    <w:panose1 w:val="0500010001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Calibri Light">
    <w:altName w:val="Arial"/>
    <w:panose1 w:val="020F0302020204030204"/>
    <w:charset w:val="00"/>
    <w:family w:val="swiss"/>
    <w:pitch w:val="default"/>
    <w:sig w:usb0="00000000" w:usb1="00000000" w:usb2="00000009" w:usb3="00000000" w:csb0="000001FF" w:csb1="00000000"/>
  </w:font>
  <w:font w:name="长仿宋体">
    <w:altName w:val="汉仪仿宋KW"/>
    <w:panose1 w:val="00000000000000000000"/>
    <w:charset w:val="86"/>
    <w:family w:val="modern"/>
    <w:pitch w:val="default"/>
    <w:sig w:usb0="00000000" w:usb1="00000000" w:usb2="00000012" w:usb3="00000000" w:csb0="00040000" w:csb1="00000000"/>
  </w:font>
  <w:font w:name="汉仪仿宋KW">
    <w:panose1 w:val="00020600040101010101"/>
    <w:charset w:val="86"/>
    <w:family w:val="auto"/>
    <w:pitch w:val="default"/>
    <w:sig w:usb0="A00002BF" w:usb1="18EF7CFA" w:usb2="00000016" w:usb3="00000000" w:csb0="00040000" w:csb1="00000000"/>
  </w:font>
  <w:font w:name="汉仪君黑KW 55J">
    <w:panose1 w:val="00020600040101010101"/>
    <w:charset w:val="86"/>
    <w:family w:val="auto"/>
    <w:pitch w:val="default"/>
    <w:sig w:usb0="A00002BF" w:usb1="0A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18</w:t>
    </w:r>
    <w:r>
      <w:rPr>
        <w:b/>
        <w:bCs/>
        <w:sz w:val="24"/>
        <w:szCs w:val="2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0F6CEE"/>
    <w:multiLevelType w:val="singleLevel"/>
    <w:tmpl w:val="0A0F6CEE"/>
    <w:lvl w:ilvl="0" w:tentative="0">
      <w:start w:val="1"/>
      <w:numFmt w:val="decimal"/>
      <w:lvlText w:val="%1."/>
      <w:lvlJc w:val="left"/>
      <w:pPr>
        <w:ind w:left="425" w:hanging="425"/>
      </w:pPr>
      <w:rPr>
        <w:rFonts w:hint="default"/>
      </w:rPr>
    </w:lvl>
  </w:abstractNum>
  <w:abstractNum w:abstractNumId="1">
    <w:nsid w:val="0FB42983"/>
    <w:multiLevelType w:val="multilevel"/>
    <w:tmpl w:val="0FB42983"/>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181E6DCE"/>
    <w:multiLevelType w:val="multilevel"/>
    <w:tmpl w:val="181E6DCE"/>
    <w:lvl w:ilvl="0" w:tentative="0">
      <w:start w:val="1"/>
      <w:numFmt w:val="decimal"/>
      <w:lvlText w:val="%1）"/>
      <w:lvlJc w:val="left"/>
      <w:pPr>
        <w:ind w:left="420" w:hanging="420"/>
      </w:pPr>
      <w:rPr>
        <w:rFonts w:asciiTheme="minorEastAsia" w:hAnsiTheme="minorEastAsia" w:eastAsiaTheme="minorEastAsia" w:cstheme="minorEastAsia"/>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BBC284C"/>
    <w:multiLevelType w:val="multilevel"/>
    <w:tmpl w:val="1BBC284C"/>
    <w:lvl w:ilvl="0" w:tentative="0">
      <w:start w:val="1"/>
      <w:numFmt w:val="decimal"/>
      <w:lvlText w:val="%1）"/>
      <w:lvlJc w:val="left"/>
      <w:pPr>
        <w:ind w:left="420" w:hanging="420"/>
      </w:pPr>
      <w:rPr>
        <w:rFonts w:asciiTheme="minorEastAsia" w:hAnsiTheme="minorEastAsia" w:eastAsiaTheme="minorEastAsia" w:cstheme="minorEastAsia"/>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1C0E6FF6"/>
    <w:multiLevelType w:val="multilevel"/>
    <w:tmpl w:val="1C0E6FF6"/>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1C1A4DC6"/>
    <w:multiLevelType w:val="multilevel"/>
    <w:tmpl w:val="1C1A4DC6"/>
    <w:lvl w:ilvl="0" w:tentative="0">
      <w:start w:val="1"/>
      <w:numFmt w:val="decimal"/>
      <w:lvlText w:val="%1."/>
      <w:lvlJc w:val="left"/>
      <w:pPr>
        <w:ind w:left="420" w:hanging="420"/>
      </w:pPr>
      <w:rPr>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1CC26BD5"/>
    <w:multiLevelType w:val="multilevel"/>
    <w:tmpl w:val="1CC26BD5"/>
    <w:lvl w:ilvl="0" w:tentative="0">
      <w:start w:val="1"/>
      <w:numFmt w:val="decimal"/>
      <w:lvlText w:val="%1）"/>
      <w:lvlJc w:val="left"/>
      <w:pPr>
        <w:ind w:left="420" w:hanging="420"/>
      </w:pPr>
      <w:rPr>
        <w:rFonts w:asciiTheme="minorEastAsia" w:hAnsiTheme="minorEastAsia" w:eastAsiaTheme="minorEastAsia" w:cstheme="minorEastAsia"/>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223A4603"/>
    <w:multiLevelType w:val="multilevel"/>
    <w:tmpl w:val="223A460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29D33497"/>
    <w:multiLevelType w:val="multilevel"/>
    <w:tmpl w:val="29D33497"/>
    <w:lvl w:ilvl="0" w:tentative="0">
      <w:start w:val="1"/>
      <w:numFmt w:val="decimal"/>
      <w:lvlText w:val="%1）"/>
      <w:lvlJc w:val="left"/>
      <w:pPr>
        <w:ind w:left="420" w:hanging="420"/>
      </w:pPr>
      <w:rPr>
        <w:rFonts w:asciiTheme="minorEastAsia" w:hAnsiTheme="minorEastAsia" w:eastAsiaTheme="minorEastAsia" w:cstheme="minorEastAsia"/>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2DA379D5"/>
    <w:multiLevelType w:val="multilevel"/>
    <w:tmpl w:val="2DA379D5"/>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305568F1"/>
    <w:multiLevelType w:val="multilevel"/>
    <w:tmpl w:val="305568F1"/>
    <w:lvl w:ilvl="0" w:tentative="0">
      <w:start w:val="1"/>
      <w:numFmt w:val="decimal"/>
      <w:lvlText w:val="%1."/>
      <w:lvlJc w:val="left"/>
      <w:pPr>
        <w:ind w:left="563" w:hanging="420"/>
      </w:pPr>
    </w:lvl>
    <w:lvl w:ilvl="1" w:tentative="0">
      <w:start w:val="1"/>
      <w:numFmt w:val="lowerLetter"/>
      <w:lvlText w:val="%2)"/>
      <w:lvlJc w:val="left"/>
      <w:pPr>
        <w:ind w:left="983" w:hanging="420"/>
      </w:pPr>
    </w:lvl>
    <w:lvl w:ilvl="2" w:tentative="0">
      <w:start w:val="1"/>
      <w:numFmt w:val="lowerRoman"/>
      <w:lvlText w:val="%3."/>
      <w:lvlJc w:val="right"/>
      <w:pPr>
        <w:ind w:left="1403" w:hanging="420"/>
      </w:pPr>
    </w:lvl>
    <w:lvl w:ilvl="3" w:tentative="0">
      <w:start w:val="1"/>
      <w:numFmt w:val="decimal"/>
      <w:lvlText w:val="%4."/>
      <w:lvlJc w:val="left"/>
      <w:pPr>
        <w:ind w:left="1823" w:hanging="420"/>
      </w:pPr>
    </w:lvl>
    <w:lvl w:ilvl="4" w:tentative="0">
      <w:start w:val="1"/>
      <w:numFmt w:val="lowerLetter"/>
      <w:lvlText w:val="%5)"/>
      <w:lvlJc w:val="left"/>
      <w:pPr>
        <w:ind w:left="2243" w:hanging="420"/>
      </w:pPr>
    </w:lvl>
    <w:lvl w:ilvl="5" w:tentative="0">
      <w:start w:val="1"/>
      <w:numFmt w:val="lowerRoman"/>
      <w:lvlText w:val="%6."/>
      <w:lvlJc w:val="right"/>
      <w:pPr>
        <w:ind w:left="2663" w:hanging="420"/>
      </w:pPr>
    </w:lvl>
    <w:lvl w:ilvl="6" w:tentative="0">
      <w:start w:val="1"/>
      <w:numFmt w:val="decimal"/>
      <w:lvlText w:val="%7."/>
      <w:lvlJc w:val="left"/>
      <w:pPr>
        <w:ind w:left="3083" w:hanging="420"/>
      </w:pPr>
    </w:lvl>
    <w:lvl w:ilvl="7" w:tentative="0">
      <w:start w:val="1"/>
      <w:numFmt w:val="lowerLetter"/>
      <w:lvlText w:val="%8)"/>
      <w:lvlJc w:val="left"/>
      <w:pPr>
        <w:ind w:left="3503" w:hanging="420"/>
      </w:pPr>
    </w:lvl>
    <w:lvl w:ilvl="8" w:tentative="0">
      <w:start w:val="1"/>
      <w:numFmt w:val="lowerRoman"/>
      <w:lvlText w:val="%9."/>
      <w:lvlJc w:val="right"/>
      <w:pPr>
        <w:ind w:left="3923" w:hanging="420"/>
      </w:pPr>
    </w:lvl>
  </w:abstractNum>
  <w:abstractNum w:abstractNumId="11">
    <w:nsid w:val="4D6E35D8"/>
    <w:multiLevelType w:val="multilevel"/>
    <w:tmpl w:val="4D6E35D8"/>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55DE7773"/>
    <w:multiLevelType w:val="multilevel"/>
    <w:tmpl w:val="55DE7773"/>
    <w:lvl w:ilvl="0" w:tentative="0">
      <w:start w:val="1"/>
      <w:numFmt w:val="decimal"/>
      <w:lvlText w:val="%1）"/>
      <w:lvlJc w:val="left"/>
      <w:pPr>
        <w:ind w:left="420" w:hanging="420"/>
      </w:pPr>
      <w:rPr>
        <w:rFonts w:asciiTheme="minorEastAsia" w:hAnsiTheme="minorEastAsia" w:eastAsiaTheme="minorEastAsia" w:cstheme="minorEastAsia"/>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565836C6"/>
    <w:multiLevelType w:val="multilevel"/>
    <w:tmpl w:val="565836C6"/>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5F2F5BCF"/>
    <w:multiLevelType w:val="multilevel"/>
    <w:tmpl w:val="5F2F5BCF"/>
    <w:lvl w:ilvl="0" w:tentative="0">
      <w:start w:val="1"/>
      <w:numFmt w:val="decimal"/>
      <w:lvlText w:val="%1."/>
      <w:lvlJc w:val="left"/>
      <w:pPr>
        <w:tabs>
          <w:tab w:val="left" w:pos="420"/>
        </w:tabs>
        <w:ind w:left="420" w:hanging="420"/>
      </w:pPr>
      <w:rPr>
        <w:rFonts w:ascii="宋体" w:hAnsi="宋体"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5">
    <w:nsid w:val="6177613D"/>
    <w:multiLevelType w:val="multilevel"/>
    <w:tmpl w:val="6177613D"/>
    <w:lvl w:ilvl="0" w:tentative="0">
      <w:start w:val="1"/>
      <w:numFmt w:val="decimal"/>
      <w:lvlText w:val="%1."/>
      <w:lvlJc w:val="left"/>
      <w:pPr>
        <w:ind w:left="420" w:hanging="420"/>
      </w:pPr>
      <w:rPr>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6D592C34"/>
    <w:multiLevelType w:val="multilevel"/>
    <w:tmpl w:val="6D592C3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75FE6814"/>
    <w:multiLevelType w:val="multilevel"/>
    <w:tmpl w:val="75FE6814"/>
    <w:lvl w:ilvl="0" w:tentative="0">
      <w:start w:val="1"/>
      <w:numFmt w:val="decimal"/>
      <w:lvlText w:val="%1."/>
      <w:lvlJc w:val="left"/>
      <w:pPr>
        <w:tabs>
          <w:tab w:val="left" w:pos="420"/>
        </w:tabs>
        <w:ind w:left="420" w:hanging="420"/>
      </w:pPr>
      <w:rPr>
        <w:rFonts w:asciiTheme="majorEastAsia" w:hAnsiTheme="majorEastAsia" w:eastAsiaTheme="major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8">
    <w:nsid w:val="7EA85863"/>
    <w:multiLevelType w:val="multilevel"/>
    <w:tmpl w:val="7EA85863"/>
    <w:lvl w:ilvl="0" w:tentative="0">
      <w:start w:val="1"/>
      <w:numFmt w:val="decimal"/>
      <w:lvlText w:val="%1）"/>
      <w:lvlJc w:val="left"/>
      <w:pPr>
        <w:ind w:left="420" w:hanging="420"/>
      </w:pPr>
      <w:rPr>
        <w:rFonts w:asciiTheme="minorEastAsia" w:hAnsiTheme="minorEastAsia" w:eastAsiaTheme="minorEastAsia" w:cstheme="minorEastAsia"/>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7FF102E6"/>
    <w:multiLevelType w:val="multilevel"/>
    <w:tmpl w:val="7FF102E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3"/>
  </w:num>
  <w:num w:numId="2">
    <w:abstractNumId w:val="11"/>
  </w:num>
  <w:num w:numId="3">
    <w:abstractNumId w:val="1"/>
  </w:num>
  <w:num w:numId="4">
    <w:abstractNumId w:val="14"/>
  </w:num>
  <w:num w:numId="5">
    <w:abstractNumId w:val="7"/>
  </w:num>
  <w:num w:numId="6">
    <w:abstractNumId w:val="17"/>
  </w:num>
  <w:num w:numId="7">
    <w:abstractNumId w:val="4"/>
  </w:num>
  <w:num w:numId="8">
    <w:abstractNumId w:val="9"/>
  </w:num>
  <w:num w:numId="9">
    <w:abstractNumId w:val="19"/>
  </w:num>
  <w:num w:numId="10">
    <w:abstractNumId w:val="15"/>
  </w:num>
  <w:num w:numId="11">
    <w:abstractNumId w:val="3"/>
  </w:num>
  <w:num w:numId="12">
    <w:abstractNumId w:val="2"/>
  </w:num>
  <w:num w:numId="13">
    <w:abstractNumId w:val="12"/>
  </w:num>
  <w:num w:numId="14">
    <w:abstractNumId w:val="8"/>
  </w:num>
  <w:num w:numId="15">
    <w:abstractNumId w:val="6"/>
  </w:num>
  <w:num w:numId="16">
    <w:abstractNumId w:val="18"/>
  </w:num>
  <w:num w:numId="17">
    <w:abstractNumId w:val="5"/>
  </w:num>
  <w:num w:numId="18">
    <w:abstractNumId w:val="0"/>
  </w:num>
  <w:num w:numId="19">
    <w:abstractNumId w:val="10"/>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E2MjQ1ZjgwNTJhZTIyN2YyZGVlNDY0MTIyMGY1YTgifQ=="/>
  </w:docVars>
  <w:rsids>
    <w:rsidRoot w:val="509A0128"/>
    <w:rsid w:val="00055A2C"/>
    <w:rsid w:val="000A61D1"/>
    <w:rsid w:val="000A630B"/>
    <w:rsid w:val="000C3435"/>
    <w:rsid w:val="000C6C7F"/>
    <w:rsid w:val="000F0BE8"/>
    <w:rsid w:val="000F2579"/>
    <w:rsid w:val="00101A14"/>
    <w:rsid w:val="00105918"/>
    <w:rsid w:val="00131DD0"/>
    <w:rsid w:val="001618E8"/>
    <w:rsid w:val="001809FA"/>
    <w:rsid w:val="0018451B"/>
    <w:rsid w:val="00192826"/>
    <w:rsid w:val="001E282D"/>
    <w:rsid w:val="001E4C9D"/>
    <w:rsid w:val="001F18B9"/>
    <w:rsid w:val="001F730C"/>
    <w:rsid w:val="002140B9"/>
    <w:rsid w:val="002938DC"/>
    <w:rsid w:val="002C67D8"/>
    <w:rsid w:val="002D15CA"/>
    <w:rsid w:val="002E1E6E"/>
    <w:rsid w:val="00310392"/>
    <w:rsid w:val="003140A3"/>
    <w:rsid w:val="0032275E"/>
    <w:rsid w:val="00325EDD"/>
    <w:rsid w:val="00345302"/>
    <w:rsid w:val="00351E70"/>
    <w:rsid w:val="003536A5"/>
    <w:rsid w:val="00357BBB"/>
    <w:rsid w:val="003764AB"/>
    <w:rsid w:val="003923CB"/>
    <w:rsid w:val="003B0E7F"/>
    <w:rsid w:val="003B5437"/>
    <w:rsid w:val="003F2A06"/>
    <w:rsid w:val="00416CD4"/>
    <w:rsid w:val="004176A1"/>
    <w:rsid w:val="00426931"/>
    <w:rsid w:val="00447ED0"/>
    <w:rsid w:val="00473E3E"/>
    <w:rsid w:val="004D4CAC"/>
    <w:rsid w:val="004D4F8F"/>
    <w:rsid w:val="004D7E5A"/>
    <w:rsid w:val="004E5564"/>
    <w:rsid w:val="00524C95"/>
    <w:rsid w:val="0053347C"/>
    <w:rsid w:val="0056277B"/>
    <w:rsid w:val="00596EF1"/>
    <w:rsid w:val="005C5AEE"/>
    <w:rsid w:val="006231D2"/>
    <w:rsid w:val="006A0CBD"/>
    <w:rsid w:val="006C27A1"/>
    <w:rsid w:val="00712844"/>
    <w:rsid w:val="00713108"/>
    <w:rsid w:val="0073631C"/>
    <w:rsid w:val="0075401E"/>
    <w:rsid w:val="007857D3"/>
    <w:rsid w:val="0080184B"/>
    <w:rsid w:val="008058B0"/>
    <w:rsid w:val="00810CBE"/>
    <w:rsid w:val="00835F3E"/>
    <w:rsid w:val="00846F3A"/>
    <w:rsid w:val="00866CFD"/>
    <w:rsid w:val="00875B57"/>
    <w:rsid w:val="00876843"/>
    <w:rsid w:val="008836E9"/>
    <w:rsid w:val="0089465A"/>
    <w:rsid w:val="008D0FBF"/>
    <w:rsid w:val="008E5B88"/>
    <w:rsid w:val="00902E85"/>
    <w:rsid w:val="00911285"/>
    <w:rsid w:val="009A2883"/>
    <w:rsid w:val="009C1172"/>
    <w:rsid w:val="00A62B42"/>
    <w:rsid w:val="00A71279"/>
    <w:rsid w:val="00AB6176"/>
    <w:rsid w:val="00AB7FA5"/>
    <w:rsid w:val="00AF3F61"/>
    <w:rsid w:val="00B565ED"/>
    <w:rsid w:val="00B70102"/>
    <w:rsid w:val="00BA632E"/>
    <w:rsid w:val="00BB19E2"/>
    <w:rsid w:val="00C115B8"/>
    <w:rsid w:val="00C25744"/>
    <w:rsid w:val="00C2773D"/>
    <w:rsid w:val="00C35559"/>
    <w:rsid w:val="00C437D6"/>
    <w:rsid w:val="00C87810"/>
    <w:rsid w:val="00CB6EF8"/>
    <w:rsid w:val="00CD1136"/>
    <w:rsid w:val="00CD24F5"/>
    <w:rsid w:val="00CE3C9E"/>
    <w:rsid w:val="00CF3FB2"/>
    <w:rsid w:val="00D10829"/>
    <w:rsid w:val="00D15200"/>
    <w:rsid w:val="00D2593E"/>
    <w:rsid w:val="00D53075"/>
    <w:rsid w:val="00D67ECC"/>
    <w:rsid w:val="00D97120"/>
    <w:rsid w:val="00DA514A"/>
    <w:rsid w:val="00DD3E3E"/>
    <w:rsid w:val="00DF7E51"/>
    <w:rsid w:val="00E0508F"/>
    <w:rsid w:val="00E13117"/>
    <w:rsid w:val="00E23728"/>
    <w:rsid w:val="00E5237E"/>
    <w:rsid w:val="00E56D7E"/>
    <w:rsid w:val="00E62256"/>
    <w:rsid w:val="00E66AF2"/>
    <w:rsid w:val="00E766AB"/>
    <w:rsid w:val="00E82A5A"/>
    <w:rsid w:val="00E82E6A"/>
    <w:rsid w:val="00E83F41"/>
    <w:rsid w:val="00E95897"/>
    <w:rsid w:val="00EA66B7"/>
    <w:rsid w:val="00EF0A25"/>
    <w:rsid w:val="00F0028A"/>
    <w:rsid w:val="00F0471E"/>
    <w:rsid w:val="00F06F59"/>
    <w:rsid w:val="00F337DA"/>
    <w:rsid w:val="00F70AA0"/>
    <w:rsid w:val="00F72F65"/>
    <w:rsid w:val="00F83B37"/>
    <w:rsid w:val="00F85712"/>
    <w:rsid w:val="00FA08EC"/>
    <w:rsid w:val="00FD041F"/>
    <w:rsid w:val="00FF74E9"/>
    <w:rsid w:val="010E3B97"/>
    <w:rsid w:val="01565891"/>
    <w:rsid w:val="017A33B4"/>
    <w:rsid w:val="01A254BB"/>
    <w:rsid w:val="01A40817"/>
    <w:rsid w:val="01C60B40"/>
    <w:rsid w:val="02361B83"/>
    <w:rsid w:val="02656D8C"/>
    <w:rsid w:val="02F51247"/>
    <w:rsid w:val="037073F7"/>
    <w:rsid w:val="03F72897"/>
    <w:rsid w:val="042E3126"/>
    <w:rsid w:val="04463868"/>
    <w:rsid w:val="04670BB8"/>
    <w:rsid w:val="04F24C66"/>
    <w:rsid w:val="05171BC5"/>
    <w:rsid w:val="057E5F46"/>
    <w:rsid w:val="0640337F"/>
    <w:rsid w:val="067D748C"/>
    <w:rsid w:val="06FE3D2F"/>
    <w:rsid w:val="073C5C9F"/>
    <w:rsid w:val="07721182"/>
    <w:rsid w:val="07F86AC4"/>
    <w:rsid w:val="0842383A"/>
    <w:rsid w:val="08502AAB"/>
    <w:rsid w:val="08713EBD"/>
    <w:rsid w:val="08F828A9"/>
    <w:rsid w:val="0903454D"/>
    <w:rsid w:val="096769D7"/>
    <w:rsid w:val="09AD465B"/>
    <w:rsid w:val="09F42406"/>
    <w:rsid w:val="0A520331"/>
    <w:rsid w:val="0A7C0BA6"/>
    <w:rsid w:val="0AAB0D8C"/>
    <w:rsid w:val="0ADC1CB2"/>
    <w:rsid w:val="0AE77B33"/>
    <w:rsid w:val="0AEE00CB"/>
    <w:rsid w:val="0AFC2A76"/>
    <w:rsid w:val="0B9113C9"/>
    <w:rsid w:val="0BA16720"/>
    <w:rsid w:val="0BEA2E18"/>
    <w:rsid w:val="0BF36B95"/>
    <w:rsid w:val="0C466F17"/>
    <w:rsid w:val="0C787EBA"/>
    <w:rsid w:val="0D0C7F2D"/>
    <w:rsid w:val="0D2A7AC7"/>
    <w:rsid w:val="0D806FBF"/>
    <w:rsid w:val="0E5434E9"/>
    <w:rsid w:val="0EFF7F15"/>
    <w:rsid w:val="0F1F4CEC"/>
    <w:rsid w:val="0F846722"/>
    <w:rsid w:val="0F847DFE"/>
    <w:rsid w:val="0FEFF634"/>
    <w:rsid w:val="1010588A"/>
    <w:rsid w:val="10B17C2B"/>
    <w:rsid w:val="10C00F09"/>
    <w:rsid w:val="11235F96"/>
    <w:rsid w:val="119717F6"/>
    <w:rsid w:val="1214741F"/>
    <w:rsid w:val="12674B62"/>
    <w:rsid w:val="12712B6C"/>
    <w:rsid w:val="12A56801"/>
    <w:rsid w:val="12F87028"/>
    <w:rsid w:val="133C3F1F"/>
    <w:rsid w:val="13816E80"/>
    <w:rsid w:val="13CDAC0F"/>
    <w:rsid w:val="147B119A"/>
    <w:rsid w:val="14D83DE9"/>
    <w:rsid w:val="14E45803"/>
    <w:rsid w:val="14FA4486"/>
    <w:rsid w:val="150B3F69"/>
    <w:rsid w:val="150D619F"/>
    <w:rsid w:val="15AA1948"/>
    <w:rsid w:val="15E90038"/>
    <w:rsid w:val="165D0C67"/>
    <w:rsid w:val="16DD1B58"/>
    <w:rsid w:val="173D1ADD"/>
    <w:rsid w:val="17465999"/>
    <w:rsid w:val="1760518A"/>
    <w:rsid w:val="17BA444B"/>
    <w:rsid w:val="17E22584"/>
    <w:rsid w:val="17F76D8D"/>
    <w:rsid w:val="17F844F4"/>
    <w:rsid w:val="181A433D"/>
    <w:rsid w:val="18797973"/>
    <w:rsid w:val="18A806E1"/>
    <w:rsid w:val="18AC1625"/>
    <w:rsid w:val="1913513B"/>
    <w:rsid w:val="19625963"/>
    <w:rsid w:val="19EB1B3B"/>
    <w:rsid w:val="1A6A31A4"/>
    <w:rsid w:val="1A7334F2"/>
    <w:rsid w:val="1A813E1F"/>
    <w:rsid w:val="1AEB4E5A"/>
    <w:rsid w:val="1B1D128F"/>
    <w:rsid w:val="1C5050A3"/>
    <w:rsid w:val="1D1B6A6B"/>
    <w:rsid w:val="1D5630E1"/>
    <w:rsid w:val="1DC83FA9"/>
    <w:rsid w:val="1E7EFC48"/>
    <w:rsid w:val="1EC57C1A"/>
    <w:rsid w:val="1EE238E2"/>
    <w:rsid w:val="1F1C6BD2"/>
    <w:rsid w:val="1FB7D847"/>
    <w:rsid w:val="1FBFFA80"/>
    <w:rsid w:val="202F2819"/>
    <w:rsid w:val="203B071F"/>
    <w:rsid w:val="2055461F"/>
    <w:rsid w:val="20C41500"/>
    <w:rsid w:val="21104C2B"/>
    <w:rsid w:val="211E3033"/>
    <w:rsid w:val="219F4171"/>
    <w:rsid w:val="21A06D68"/>
    <w:rsid w:val="21A60F56"/>
    <w:rsid w:val="2293597D"/>
    <w:rsid w:val="23430F50"/>
    <w:rsid w:val="239369CB"/>
    <w:rsid w:val="23E1739F"/>
    <w:rsid w:val="23FB4B1B"/>
    <w:rsid w:val="24480362"/>
    <w:rsid w:val="244F050B"/>
    <w:rsid w:val="246E15AC"/>
    <w:rsid w:val="24DC551E"/>
    <w:rsid w:val="251E7152"/>
    <w:rsid w:val="25E6208A"/>
    <w:rsid w:val="2614228D"/>
    <w:rsid w:val="26147DE9"/>
    <w:rsid w:val="26391639"/>
    <w:rsid w:val="27A30C4C"/>
    <w:rsid w:val="27DD2098"/>
    <w:rsid w:val="2919202B"/>
    <w:rsid w:val="29D471D8"/>
    <w:rsid w:val="29D70774"/>
    <w:rsid w:val="29EA687B"/>
    <w:rsid w:val="2A91318F"/>
    <w:rsid w:val="2A9302BE"/>
    <w:rsid w:val="2AB56E7C"/>
    <w:rsid w:val="2B227309"/>
    <w:rsid w:val="2B2A13FF"/>
    <w:rsid w:val="2B504431"/>
    <w:rsid w:val="2B863CEC"/>
    <w:rsid w:val="2C824332"/>
    <w:rsid w:val="2C904392"/>
    <w:rsid w:val="2D2A7268"/>
    <w:rsid w:val="2EBB5CC1"/>
    <w:rsid w:val="2EE8161A"/>
    <w:rsid w:val="2EFF5046"/>
    <w:rsid w:val="2FF0489C"/>
    <w:rsid w:val="30156ACB"/>
    <w:rsid w:val="30852EE8"/>
    <w:rsid w:val="30DF680C"/>
    <w:rsid w:val="310A19E3"/>
    <w:rsid w:val="316B5A79"/>
    <w:rsid w:val="31BB186F"/>
    <w:rsid w:val="320667C6"/>
    <w:rsid w:val="331016B2"/>
    <w:rsid w:val="3361078B"/>
    <w:rsid w:val="337AF966"/>
    <w:rsid w:val="34450A02"/>
    <w:rsid w:val="355072C7"/>
    <w:rsid w:val="35697973"/>
    <w:rsid w:val="35FC23FE"/>
    <w:rsid w:val="361C76A1"/>
    <w:rsid w:val="362750B3"/>
    <w:rsid w:val="363870C8"/>
    <w:rsid w:val="369972D6"/>
    <w:rsid w:val="36C92263"/>
    <w:rsid w:val="375B754C"/>
    <w:rsid w:val="37DE6FEF"/>
    <w:rsid w:val="37FF88C6"/>
    <w:rsid w:val="387B28CA"/>
    <w:rsid w:val="38C83C36"/>
    <w:rsid w:val="38CA14D8"/>
    <w:rsid w:val="38CD5604"/>
    <w:rsid w:val="38E144A4"/>
    <w:rsid w:val="39402875"/>
    <w:rsid w:val="3A0A31D9"/>
    <w:rsid w:val="3A30658C"/>
    <w:rsid w:val="3AD57273"/>
    <w:rsid w:val="3AFC4C40"/>
    <w:rsid w:val="3B3BF08F"/>
    <w:rsid w:val="3B814C27"/>
    <w:rsid w:val="3E7B730C"/>
    <w:rsid w:val="3E865E16"/>
    <w:rsid w:val="3EC33728"/>
    <w:rsid w:val="3EF60556"/>
    <w:rsid w:val="3EFFA835"/>
    <w:rsid w:val="3F5F7C5E"/>
    <w:rsid w:val="3FB90C8B"/>
    <w:rsid w:val="3FF856DC"/>
    <w:rsid w:val="40110524"/>
    <w:rsid w:val="40631C62"/>
    <w:rsid w:val="40A9619C"/>
    <w:rsid w:val="40C440B9"/>
    <w:rsid w:val="41835463"/>
    <w:rsid w:val="41872F57"/>
    <w:rsid w:val="41962056"/>
    <w:rsid w:val="41B11F47"/>
    <w:rsid w:val="41F77F9E"/>
    <w:rsid w:val="42055AE3"/>
    <w:rsid w:val="421F1B75"/>
    <w:rsid w:val="42DC2D25"/>
    <w:rsid w:val="43272B64"/>
    <w:rsid w:val="446A4811"/>
    <w:rsid w:val="44B813D4"/>
    <w:rsid w:val="44E83D6D"/>
    <w:rsid w:val="45102F4B"/>
    <w:rsid w:val="45633A3C"/>
    <w:rsid w:val="45683707"/>
    <w:rsid w:val="458A4B1F"/>
    <w:rsid w:val="45A86EB7"/>
    <w:rsid w:val="45F4055D"/>
    <w:rsid w:val="465A0A9E"/>
    <w:rsid w:val="466B3387"/>
    <w:rsid w:val="47420A36"/>
    <w:rsid w:val="474E0064"/>
    <w:rsid w:val="479A18A0"/>
    <w:rsid w:val="48B01383"/>
    <w:rsid w:val="48F411EE"/>
    <w:rsid w:val="494207A7"/>
    <w:rsid w:val="494E494B"/>
    <w:rsid w:val="496F2FF4"/>
    <w:rsid w:val="499653F9"/>
    <w:rsid w:val="49DD42F7"/>
    <w:rsid w:val="4A904CC0"/>
    <w:rsid w:val="4A9649C8"/>
    <w:rsid w:val="4B1D1056"/>
    <w:rsid w:val="4B977274"/>
    <w:rsid w:val="4B9C7F3E"/>
    <w:rsid w:val="4BF87E0B"/>
    <w:rsid w:val="4C8327A9"/>
    <w:rsid w:val="4CFC5E15"/>
    <w:rsid w:val="4DBA70FF"/>
    <w:rsid w:val="4DFB5F07"/>
    <w:rsid w:val="4E122624"/>
    <w:rsid w:val="4EF6201C"/>
    <w:rsid w:val="4F4F3561"/>
    <w:rsid w:val="50190B9E"/>
    <w:rsid w:val="5023548A"/>
    <w:rsid w:val="504266E9"/>
    <w:rsid w:val="509A0128"/>
    <w:rsid w:val="513F34AE"/>
    <w:rsid w:val="51893501"/>
    <w:rsid w:val="52313E1F"/>
    <w:rsid w:val="524C6B42"/>
    <w:rsid w:val="52752915"/>
    <w:rsid w:val="52790205"/>
    <w:rsid w:val="52B60CE3"/>
    <w:rsid w:val="52CD60BE"/>
    <w:rsid w:val="53D61C6F"/>
    <w:rsid w:val="541774EA"/>
    <w:rsid w:val="54853250"/>
    <w:rsid w:val="551E56CA"/>
    <w:rsid w:val="55A24AD2"/>
    <w:rsid w:val="560B1A36"/>
    <w:rsid w:val="56212408"/>
    <w:rsid w:val="565C6C7E"/>
    <w:rsid w:val="577C28BE"/>
    <w:rsid w:val="579FEE2B"/>
    <w:rsid w:val="57A7303C"/>
    <w:rsid w:val="580223E2"/>
    <w:rsid w:val="58222DCF"/>
    <w:rsid w:val="58264F87"/>
    <w:rsid w:val="58290699"/>
    <w:rsid w:val="586E3647"/>
    <w:rsid w:val="59084281"/>
    <w:rsid w:val="59BD4F94"/>
    <w:rsid w:val="59C52D90"/>
    <w:rsid w:val="59FD276B"/>
    <w:rsid w:val="5A325038"/>
    <w:rsid w:val="5A772628"/>
    <w:rsid w:val="5A782B32"/>
    <w:rsid w:val="5A796E43"/>
    <w:rsid w:val="5A8F0F2D"/>
    <w:rsid w:val="5AE106CF"/>
    <w:rsid w:val="5B373C1B"/>
    <w:rsid w:val="5B671DFA"/>
    <w:rsid w:val="5B9C2CB9"/>
    <w:rsid w:val="5BBE387E"/>
    <w:rsid w:val="5BEB5295"/>
    <w:rsid w:val="5C65791A"/>
    <w:rsid w:val="5C850E74"/>
    <w:rsid w:val="5C8D5AC7"/>
    <w:rsid w:val="5D17223C"/>
    <w:rsid w:val="5D37017C"/>
    <w:rsid w:val="5D970A0A"/>
    <w:rsid w:val="5DF550FE"/>
    <w:rsid w:val="5E1413C9"/>
    <w:rsid w:val="5E58518B"/>
    <w:rsid w:val="5E7A4674"/>
    <w:rsid w:val="5EC13705"/>
    <w:rsid w:val="5EC30454"/>
    <w:rsid w:val="5EFE5CD4"/>
    <w:rsid w:val="5F1F6BDC"/>
    <w:rsid w:val="5F245707"/>
    <w:rsid w:val="5FADCB3E"/>
    <w:rsid w:val="5FAF50E6"/>
    <w:rsid w:val="5FB46E2A"/>
    <w:rsid w:val="5FD7773B"/>
    <w:rsid w:val="5FE11868"/>
    <w:rsid w:val="5FE1419F"/>
    <w:rsid w:val="5FE44EB2"/>
    <w:rsid w:val="5FF439C8"/>
    <w:rsid w:val="60F36D67"/>
    <w:rsid w:val="60FA4864"/>
    <w:rsid w:val="61236172"/>
    <w:rsid w:val="61614C7B"/>
    <w:rsid w:val="616F4EAF"/>
    <w:rsid w:val="61947A4C"/>
    <w:rsid w:val="620E4992"/>
    <w:rsid w:val="62EE0308"/>
    <w:rsid w:val="633A000C"/>
    <w:rsid w:val="639D3DDE"/>
    <w:rsid w:val="63AC3C69"/>
    <w:rsid w:val="64004A72"/>
    <w:rsid w:val="64680D65"/>
    <w:rsid w:val="65E8273E"/>
    <w:rsid w:val="66186759"/>
    <w:rsid w:val="66BA2392"/>
    <w:rsid w:val="675A7E29"/>
    <w:rsid w:val="67694046"/>
    <w:rsid w:val="67774A29"/>
    <w:rsid w:val="678260FE"/>
    <w:rsid w:val="67FA3C50"/>
    <w:rsid w:val="68014586"/>
    <w:rsid w:val="680936C1"/>
    <w:rsid w:val="682A6AAC"/>
    <w:rsid w:val="68FB6E19"/>
    <w:rsid w:val="692A71F4"/>
    <w:rsid w:val="6990477B"/>
    <w:rsid w:val="69CB1712"/>
    <w:rsid w:val="69FECF1A"/>
    <w:rsid w:val="6A545609"/>
    <w:rsid w:val="6ACC3A80"/>
    <w:rsid w:val="6AEF20D7"/>
    <w:rsid w:val="6B648E03"/>
    <w:rsid w:val="6B941A92"/>
    <w:rsid w:val="6BA85826"/>
    <w:rsid w:val="6BBC5127"/>
    <w:rsid w:val="6BC40328"/>
    <w:rsid w:val="6BFE1BB4"/>
    <w:rsid w:val="6C103C19"/>
    <w:rsid w:val="6C496585"/>
    <w:rsid w:val="6CC10EBE"/>
    <w:rsid w:val="6D8C2828"/>
    <w:rsid w:val="6E351DC1"/>
    <w:rsid w:val="6EF60BF3"/>
    <w:rsid w:val="6FF1026C"/>
    <w:rsid w:val="70275BD8"/>
    <w:rsid w:val="70531648"/>
    <w:rsid w:val="70876E6A"/>
    <w:rsid w:val="709A77E0"/>
    <w:rsid w:val="713A3C9D"/>
    <w:rsid w:val="72135EED"/>
    <w:rsid w:val="726B5DF7"/>
    <w:rsid w:val="727D459A"/>
    <w:rsid w:val="72BC41DE"/>
    <w:rsid w:val="72F06ACD"/>
    <w:rsid w:val="73604DF1"/>
    <w:rsid w:val="73E57EBA"/>
    <w:rsid w:val="740751C3"/>
    <w:rsid w:val="741C3071"/>
    <w:rsid w:val="743339BC"/>
    <w:rsid w:val="747175BB"/>
    <w:rsid w:val="748676F2"/>
    <w:rsid w:val="74F23DD0"/>
    <w:rsid w:val="75083718"/>
    <w:rsid w:val="75BB5B17"/>
    <w:rsid w:val="760B48EC"/>
    <w:rsid w:val="7656C5B0"/>
    <w:rsid w:val="766F0236"/>
    <w:rsid w:val="76A87FBC"/>
    <w:rsid w:val="76E7525F"/>
    <w:rsid w:val="76EF38E1"/>
    <w:rsid w:val="77143DD5"/>
    <w:rsid w:val="771A20D4"/>
    <w:rsid w:val="77C5186C"/>
    <w:rsid w:val="77C94F81"/>
    <w:rsid w:val="77DFCFC0"/>
    <w:rsid w:val="77EF190D"/>
    <w:rsid w:val="780C671B"/>
    <w:rsid w:val="78C30556"/>
    <w:rsid w:val="79156C00"/>
    <w:rsid w:val="79435592"/>
    <w:rsid w:val="7A42693A"/>
    <w:rsid w:val="7A8718E6"/>
    <w:rsid w:val="7A8973FA"/>
    <w:rsid w:val="7A960EE7"/>
    <w:rsid w:val="7AB97461"/>
    <w:rsid w:val="7AF7232C"/>
    <w:rsid w:val="7B5063D0"/>
    <w:rsid w:val="7B5E6F88"/>
    <w:rsid w:val="7BC22724"/>
    <w:rsid w:val="7BEA56F8"/>
    <w:rsid w:val="7BF199A7"/>
    <w:rsid w:val="7BF8352F"/>
    <w:rsid w:val="7C073B83"/>
    <w:rsid w:val="7C2C5ABD"/>
    <w:rsid w:val="7C6705C7"/>
    <w:rsid w:val="7CC87E16"/>
    <w:rsid w:val="7CE10D8F"/>
    <w:rsid w:val="7D5E11A5"/>
    <w:rsid w:val="7D846A1D"/>
    <w:rsid w:val="7DEE396D"/>
    <w:rsid w:val="7DF25C3B"/>
    <w:rsid w:val="7DF5FE55"/>
    <w:rsid w:val="7DFE54E5"/>
    <w:rsid w:val="7E0329C8"/>
    <w:rsid w:val="7E3C5EA5"/>
    <w:rsid w:val="7E5E00B6"/>
    <w:rsid w:val="7E7B7FA8"/>
    <w:rsid w:val="7EDD8111"/>
    <w:rsid w:val="7EDE68F7"/>
    <w:rsid w:val="7F2A0847"/>
    <w:rsid w:val="7FEB6266"/>
    <w:rsid w:val="7FEDEDCB"/>
    <w:rsid w:val="7FEEC993"/>
    <w:rsid w:val="9AFA49A3"/>
    <w:rsid w:val="B2B92B8C"/>
    <w:rsid w:val="B9CEF05B"/>
    <w:rsid w:val="BE4D056E"/>
    <w:rsid w:val="CBEF7B45"/>
    <w:rsid w:val="DEBE7359"/>
    <w:rsid w:val="DFF703DE"/>
    <w:rsid w:val="EFFF2ABD"/>
    <w:rsid w:val="F3BFCFCF"/>
    <w:rsid w:val="F93F6C92"/>
    <w:rsid w:val="F9B6528C"/>
    <w:rsid w:val="F9BFC72C"/>
    <w:rsid w:val="FCCA7AD9"/>
    <w:rsid w:val="FDBF803B"/>
    <w:rsid w:val="FDFE0100"/>
    <w:rsid w:val="FF2BF441"/>
    <w:rsid w:val="FF7F445D"/>
    <w:rsid w:val="FFFF7FC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9"/>
    <w:pPr>
      <w:keepNext/>
      <w:keepLines/>
      <w:spacing w:before="340" w:after="330" w:line="578" w:lineRule="auto"/>
      <w:outlineLvl w:val="0"/>
    </w:pPr>
    <w:rPr>
      <w:b/>
      <w:bCs/>
      <w:kern w:val="44"/>
      <w:sz w:val="44"/>
      <w:szCs w:val="44"/>
    </w:rPr>
  </w:style>
  <w:style w:type="paragraph" w:styleId="4">
    <w:name w:val="heading 2"/>
    <w:basedOn w:val="1"/>
    <w:next w:val="1"/>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7"/>
    <w:semiHidden/>
    <w:unhideWhenUsed/>
    <w:qFormat/>
    <w:uiPriority w:val="0"/>
    <w:pPr>
      <w:keepNext/>
      <w:keepLines/>
      <w:spacing w:before="260" w:after="260" w:line="416" w:lineRule="auto"/>
      <w:outlineLvl w:val="2"/>
    </w:pPr>
    <w:rPr>
      <w:b/>
      <w:bCs/>
      <w:sz w:val="32"/>
      <w:szCs w:val="32"/>
    </w:rPr>
  </w:style>
  <w:style w:type="character" w:default="1" w:styleId="17">
    <w:name w:val="Default Paragraph Font"/>
    <w:semiHidden/>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2">
    <w:name w:val="Normal Indent"/>
    <w:basedOn w:val="1"/>
    <w:qFormat/>
    <w:uiPriority w:val="99"/>
    <w:pPr>
      <w:ind w:firstLine="420"/>
    </w:pPr>
  </w:style>
  <w:style w:type="paragraph" w:styleId="6">
    <w:name w:val="annotation text"/>
    <w:basedOn w:val="1"/>
    <w:link w:val="31"/>
    <w:uiPriority w:val="0"/>
    <w:pPr>
      <w:jc w:val="left"/>
    </w:pPr>
  </w:style>
  <w:style w:type="paragraph" w:styleId="7">
    <w:name w:val="Body Text"/>
    <w:basedOn w:val="1"/>
    <w:link w:val="26"/>
    <w:uiPriority w:val="0"/>
    <w:pPr>
      <w:spacing w:after="120"/>
    </w:pPr>
  </w:style>
  <w:style w:type="paragraph" w:styleId="8">
    <w:name w:val="Body Text Indent"/>
    <w:basedOn w:val="1"/>
    <w:unhideWhenUsed/>
    <w:qFormat/>
    <w:uiPriority w:val="99"/>
    <w:pPr>
      <w:spacing w:after="120"/>
      <w:ind w:left="420" w:leftChars="200"/>
    </w:pPr>
  </w:style>
  <w:style w:type="paragraph" w:styleId="9">
    <w:name w:val="Balloon Text"/>
    <w:basedOn w:val="1"/>
    <w:link w:val="22"/>
    <w:qFormat/>
    <w:uiPriority w:val="0"/>
    <w:rPr>
      <w:sz w:val="18"/>
      <w:szCs w:val="18"/>
    </w:rPr>
  </w:style>
  <w:style w:type="paragraph" w:styleId="10">
    <w:name w:val="footer"/>
    <w:basedOn w:val="1"/>
    <w:unhideWhenUsed/>
    <w:qFormat/>
    <w:uiPriority w:val="99"/>
    <w:pPr>
      <w:tabs>
        <w:tab w:val="center" w:pos="4153"/>
        <w:tab w:val="right" w:pos="8306"/>
      </w:tabs>
      <w:snapToGrid w:val="0"/>
      <w:jc w:val="left"/>
    </w:pPr>
    <w:rPr>
      <w:sz w:val="18"/>
      <w:szCs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Normal (Web)"/>
    <w:basedOn w:val="1"/>
    <w:uiPriority w:val="0"/>
    <w:rPr>
      <w:sz w:val="24"/>
    </w:rPr>
  </w:style>
  <w:style w:type="paragraph" w:styleId="13">
    <w:name w:val="Title"/>
    <w:basedOn w:val="1"/>
    <w:next w:val="1"/>
    <w:link w:val="30"/>
    <w:qFormat/>
    <w:uiPriority w:val="0"/>
    <w:pPr>
      <w:spacing w:before="240" w:after="60"/>
      <w:jc w:val="center"/>
      <w:outlineLvl w:val="0"/>
    </w:pPr>
    <w:rPr>
      <w:rFonts w:asciiTheme="majorHAnsi" w:hAnsiTheme="majorHAnsi" w:eastAsiaTheme="majorEastAsia" w:cstheme="majorBidi"/>
      <w:b/>
      <w:bCs/>
      <w:sz w:val="32"/>
      <w:szCs w:val="32"/>
    </w:rPr>
  </w:style>
  <w:style w:type="paragraph" w:styleId="14">
    <w:name w:val="annotation subject"/>
    <w:basedOn w:val="6"/>
    <w:next w:val="6"/>
    <w:link w:val="32"/>
    <w:qFormat/>
    <w:uiPriority w:val="0"/>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annotation reference"/>
    <w:basedOn w:val="17"/>
    <w:uiPriority w:val="0"/>
    <w:rPr>
      <w:sz w:val="21"/>
      <w:szCs w:val="21"/>
    </w:rPr>
  </w:style>
  <w:style w:type="paragraph" w:styleId="19">
    <w:name w:val="List Paragraph"/>
    <w:basedOn w:val="1"/>
    <w:link w:val="29"/>
    <w:qFormat/>
    <w:uiPriority w:val="34"/>
    <w:pPr>
      <w:ind w:firstLine="420" w:firstLineChars="200"/>
    </w:pPr>
    <w:rPr>
      <w:rFonts w:ascii="Times New Roman" w:hAnsi="Times New Roman"/>
      <w:szCs w:val="24"/>
    </w:rPr>
  </w:style>
  <w:style w:type="paragraph" w:customStyle="1" w:styleId="20">
    <w:name w:val="Char Char Char Char"/>
    <w:basedOn w:val="1"/>
    <w:qFormat/>
    <w:uiPriority w:val="0"/>
    <w:pPr>
      <w:adjustRightInd w:val="0"/>
      <w:snapToGrid w:val="0"/>
      <w:spacing w:beforeLines="50" w:afterLines="50" w:line="360" w:lineRule="auto"/>
      <w:jc w:val="left"/>
    </w:pPr>
    <w:rPr>
      <w:rFonts w:ascii="宋体" w:hAnsi="宋体"/>
      <w:color w:val="000000"/>
      <w:sz w:val="24"/>
      <w:szCs w:val="24"/>
    </w:rPr>
  </w:style>
  <w:style w:type="paragraph" w:customStyle="1" w:styleId="21">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character" w:customStyle="1" w:styleId="22">
    <w:name w:val="批注框文本 字符"/>
    <w:basedOn w:val="17"/>
    <w:link w:val="9"/>
    <w:qFormat/>
    <w:uiPriority w:val="0"/>
    <w:rPr>
      <w:rFonts w:ascii="Calibri" w:hAnsi="Calibri"/>
      <w:kern w:val="2"/>
      <w:sz w:val="18"/>
      <w:szCs w:val="18"/>
    </w:rPr>
  </w:style>
  <w:style w:type="paragraph" w:customStyle="1" w:styleId="23">
    <w:name w:val="修订1"/>
    <w:hidden/>
    <w:semiHidden/>
    <w:qFormat/>
    <w:uiPriority w:val="99"/>
    <w:rPr>
      <w:rFonts w:ascii="Calibri" w:hAnsi="Calibri" w:eastAsia="宋体" w:cs="Times New Roman"/>
      <w:kern w:val="2"/>
      <w:sz w:val="21"/>
      <w:szCs w:val="22"/>
      <w:lang w:val="en-US" w:eastAsia="zh-CN" w:bidi="ar-SA"/>
    </w:rPr>
  </w:style>
  <w:style w:type="character" w:customStyle="1" w:styleId="24">
    <w:name w:val="font61"/>
    <w:basedOn w:val="17"/>
    <w:qFormat/>
    <w:uiPriority w:val="0"/>
    <w:rPr>
      <w:rFonts w:hint="default" w:ascii="Times New Roman" w:hAnsi="Times New Roman" w:cs="Times New Roman"/>
      <w:color w:val="000000"/>
      <w:sz w:val="21"/>
      <w:szCs w:val="21"/>
      <w:u w:val="none"/>
    </w:rPr>
  </w:style>
  <w:style w:type="character" w:customStyle="1" w:styleId="25">
    <w:name w:val="font41"/>
    <w:basedOn w:val="17"/>
    <w:qFormat/>
    <w:uiPriority w:val="0"/>
    <w:rPr>
      <w:rFonts w:hint="eastAsia" w:ascii="宋体" w:hAnsi="宋体" w:eastAsia="宋体" w:cs="宋体"/>
      <w:color w:val="000000"/>
      <w:sz w:val="21"/>
      <w:szCs w:val="21"/>
      <w:u w:val="none"/>
    </w:rPr>
  </w:style>
  <w:style w:type="character" w:customStyle="1" w:styleId="26">
    <w:name w:val="正文文本 字符"/>
    <w:basedOn w:val="17"/>
    <w:link w:val="7"/>
    <w:uiPriority w:val="0"/>
    <w:rPr>
      <w:rFonts w:ascii="Calibri" w:hAnsi="Calibri"/>
      <w:kern w:val="2"/>
      <w:sz w:val="21"/>
      <w:szCs w:val="22"/>
    </w:rPr>
  </w:style>
  <w:style w:type="character" w:customStyle="1" w:styleId="27">
    <w:name w:val="标题 3 字符"/>
    <w:basedOn w:val="17"/>
    <w:link w:val="5"/>
    <w:semiHidden/>
    <w:uiPriority w:val="0"/>
    <w:rPr>
      <w:rFonts w:ascii="Calibri" w:hAnsi="Calibri"/>
      <w:b/>
      <w:bCs/>
      <w:kern w:val="2"/>
      <w:sz w:val="32"/>
      <w:szCs w:val="32"/>
    </w:rPr>
  </w:style>
  <w:style w:type="paragraph" w:customStyle="1" w:styleId="28">
    <w:name w:val="列出段落1"/>
    <w:basedOn w:val="1"/>
    <w:qFormat/>
    <w:uiPriority w:val="34"/>
    <w:pPr>
      <w:tabs>
        <w:tab w:val="left" w:pos="840"/>
      </w:tabs>
      <w:spacing w:line="360" w:lineRule="auto"/>
      <w:ind w:firstLine="420" w:firstLineChars="200"/>
      <w:jc w:val="left"/>
    </w:pPr>
    <w:rPr>
      <w:rFonts w:ascii="Times New Roman" w:hAnsi="Times New Roman"/>
      <w:szCs w:val="21"/>
    </w:rPr>
  </w:style>
  <w:style w:type="character" w:customStyle="1" w:styleId="29">
    <w:name w:val="列表段落 字符"/>
    <w:link w:val="19"/>
    <w:qFormat/>
    <w:uiPriority w:val="34"/>
    <w:rPr>
      <w:kern w:val="2"/>
      <w:sz w:val="21"/>
      <w:szCs w:val="24"/>
    </w:rPr>
  </w:style>
  <w:style w:type="character" w:customStyle="1" w:styleId="30">
    <w:name w:val="标题 字符"/>
    <w:basedOn w:val="17"/>
    <w:link w:val="13"/>
    <w:uiPriority w:val="0"/>
    <w:rPr>
      <w:rFonts w:asciiTheme="majorHAnsi" w:hAnsiTheme="majorHAnsi" w:eastAsiaTheme="majorEastAsia" w:cstheme="majorBidi"/>
      <w:b/>
      <w:bCs/>
      <w:kern w:val="2"/>
      <w:sz w:val="32"/>
      <w:szCs w:val="32"/>
    </w:rPr>
  </w:style>
  <w:style w:type="character" w:customStyle="1" w:styleId="31">
    <w:name w:val="批注文字 字符"/>
    <w:basedOn w:val="17"/>
    <w:link w:val="6"/>
    <w:uiPriority w:val="0"/>
    <w:rPr>
      <w:rFonts w:ascii="Calibri" w:hAnsi="Calibri"/>
      <w:kern w:val="2"/>
      <w:sz w:val="21"/>
      <w:szCs w:val="22"/>
    </w:rPr>
  </w:style>
  <w:style w:type="character" w:customStyle="1" w:styleId="32">
    <w:name w:val="批注主题 字符"/>
    <w:basedOn w:val="31"/>
    <w:link w:val="14"/>
    <w:uiPriority w:val="0"/>
    <w:rPr>
      <w:rFonts w:ascii="Calibri" w:hAnsi="Calibri"/>
      <w:b/>
      <w:bCs/>
      <w:kern w:val="2"/>
      <w:sz w:val="21"/>
      <w:szCs w:val="22"/>
    </w:rPr>
  </w:style>
  <w:style w:type="paragraph" w:customStyle="1" w:styleId="33">
    <w:name w:val="msolistparagraph"/>
    <w:basedOn w:val="1"/>
    <w:uiPriority w:val="0"/>
    <w:pPr>
      <w:ind w:firstLine="420" w:firstLineChars="200"/>
    </w:pPr>
  </w:style>
  <w:style w:type="character" w:customStyle="1" w:styleId="34">
    <w:name w:val="表格中的文字 Char"/>
    <w:link w:val="35"/>
    <w:uiPriority w:val="99"/>
    <w:rPr>
      <w:rFonts w:cs="宋体"/>
      <w:kern w:val="2"/>
      <w:sz w:val="21"/>
    </w:rPr>
  </w:style>
  <w:style w:type="paragraph" w:customStyle="1" w:styleId="35">
    <w:name w:val="表格中的文字"/>
    <w:basedOn w:val="1"/>
    <w:next w:val="1"/>
    <w:link w:val="34"/>
    <w:qFormat/>
    <w:uiPriority w:val="99"/>
    <w:pPr>
      <w:jc w:val="left"/>
    </w:pPr>
    <w:rPr>
      <w:rFonts w:cs="宋体"/>
      <w:szCs w:val="20"/>
    </w:rPr>
  </w:style>
  <w:style w:type="paragraph" w:customStyle="1" w:styleId="36">
    <w:name w:val="表格首行文字"/>
    <w:basedOn w:val="35"/>
    <w:next w:val="1"/>
    <w:qFormat/>
    <w:uiPriority w:val="0"/>
    <w:pPr>
      <w:jc w:val="center"/>
    </w:pPr>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HP</Company>
  <Pages>1</Pages>
  <Words>1835</Words>
  <Characters>10465</Characters>
  <Lines>87</Lines>
  <Paragraphs>24</Paragraphs>
  <TotalTime>50</TotalTime>
  <ScaleCrop>false</ScaleCrop>
  <LinksUpToDate>false</LinksUpToDate>
  <CharactersWithSpaces>12276</CharactersWithSpaces>
  <Application>WPS Office WWO_dingtalk_20240221035043-c523bba0e7</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2024-07-18T20:57:00Z</dcterms:created>
  <dc:creator>袁艺东</dc:creator>
  <cp:lastModifiedBy>Administrator</cp:lastModifiedBy>
  <dcterms:modified xsi:type="dcterms:W3CDTF">2025-01-07T11:02:48Z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5A1739E4161443D8B54D91F5BC4C2542</vt:lpwstr>
  </property>
</Properties>
</file>